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015B24" w14:paraId="325EF8E7" w14:textId="77777777" w:rsidTr="00D25CB4">
        <w:tc>
          <w:tcPr>
            <w:tcW w:w="4786" w:type="dxa"/>
            <w:hideMark/>
          </w:tcPr>
          <w:p w14:paraId="75E2CE28" w14:textId="77777777" w:rsidR="007E1D85" w:rsidRPr="00015B24" w:rsidRDefault="007E1D85" w:rsidP="00451369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190BCF6B" w14:textId="77777777" w:rsidR="00523D82" w:rsidRPr="00015B24" w:rsidRDefault="00523D82" w:rsidP="00D65134">
            <w:pPr>
              <w:widowControl w:val="0"/>
              <w:spacing w:after="0" w:line="240" w:lineRule="auto"/>
              <w:ind w:left="882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7520EB26" w14:textId="77777777" w:rsidR="00653617" w:rsidRPr="00015B24" w:rsidRDefault="00523D82" w:rsidP="00D65134">
            <w:pPr>
              <w:autoSpaceDE w:val="0"/>
              <w:autoSpaceDN w:val="0"/>
              <w:spacing w:after="0" w:line="240" w:lineRule="auto"/>
              <w:ind w:left="8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015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015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14:paraId="0AEA0240" w14:textId="77777777" w:rsidR="00523D82" w:rsidRPr="00015B24" w:rsidRDefault="00264A6E" w:rsidP="00D65134">
            <w:pPr>
              <w:autoSpaceDE w:val="0"/>
              <w:autoSpaceDN w:val="0"/>
              <w:spacing w:after="0" w:line="240" w:lineRule="auto"/>
              <w:ind w:left="8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523D82" w:rsidRPr="00015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213226" w:rsidRPr="00015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медицинского и фармацевтического контроля</w:t>
            </w:r>
          </w:p>
          <w:p w14:paraId="4E650506" w14:textId="77777777" w:rsidR="00523D82" w:rsidRPr="00015B24" w:rsidRDefault="00523D82" w:rsidP="00D65134">
            <w:pPr>
              <w:keepNext/>
              <w:autoSpaceDE w:val="0"/>
              <w:autoSpaceDN w:val="0"/>
              <w:spacing w:after="0" w:line="240" w:lineRule="auto"/>
              <w:ind w:left="882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15B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Pr="00015B2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147EA4BA" w14:textId="77777777" w:rsidR="00523D82" w:rsidRPr="00015B24" w:rsidRDefault="00523D82" w:rsidP="00D65134">
            <w:pPr>
              <w:keepNext/>
              <w:autoSpaceDE w:val="0"/>
              <w:autoSpaceDN w:val="0"/>
              <w:spacing w:after="0" w:line="240" w:lineRule="auto"/>
              <w:ind w:left="882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5B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="00264A6E" w:rsidRPr="00015B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76BBBEF2" w14:textId="77777777" w:rsidR="003610BF" w:rsidRPr="003610BF" w:rsidRDefault="003610BF" w:rsidP="003610BF">
            <w:pPr>
              <w:autoSpaceDE w:val="0"/>
              <w:autoSpaceDN w:val="0"/>
              <w:spacing w:after="0" w:line="240" w:lineRule="auto"/>
              <w:ind w:left="8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10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«03»  05   2023 г.</w:t>
            </w:r>
          </w:p>
          <w:p w14:paraId="7456E40B" w14:textId="1B993750" w:rsidR="00523D82" w:rsidRPr="00015B24" w:rsidRDefault="003610BF" w:rsidP="003610BF">
            <w:pPr>
              <w:widowControl w:val="0"/>
              <w:spacing w:after="0" w:line="240" w:lineRule="auto"/>
              <w:ind w:left="882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3610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N062942</w:t>
            </w:r>
          </w:p>
        </w:tc>
        <w:tc>
          <w:tcPr>
            <w:tcW w:w="4536" w:type="dxa"/>
          </w:tcPr>
          <w:p w14:paraId="44775E07" w14:textId="77777777" w:rsidR="00523D82" w:rsidRPr="00015B24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015B24" w14:paraId="2FCE283B" w14:textId="77777777" w:rsidTr="00D25CB4">
        <w:tc>
          <w:tcPr>
            <w:tcW w:w="4786" w:type="dxa"/>
          </w:tcPr>
          <w:p w14:paraId="007F7EE7" w14:textId="77777777" w:rsidR="00523D82" w:rsidRPr="00015B24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3634143F" w14:textId="77777777" w:rsidR="00523D82" w:rsidRPr="00015B24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06F994CD" w14:textId="77777777" w:rsidR="00523D82" w:rsidRPr="00015B24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12EA3C46" w14:textId="77777777" w:rsidR="00280121" w:rsidRPr="00015B24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16FEEE" w14:textId="77777777" w:rsidR="00D76048" w:rsidRPr="00015B24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703EBE75" w14:textId="77777777" w:rsidR="00232642" w:rsidRPr="00015B24" w:rsidRDefault="00372082" w:rsidP="00C42F5A">
      <w:pPr>
        <w:numPr>
          <w:ilvl w:val="0"/>
          <w:numId w:val="25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0" w:hanging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</w:rPr>
        <w:t>Лекарственный препарат подлежит дополнительному мониторингу, который способствует быстрому выявлению новых сведений о безопасности. Это позволит в короткий срок выявить новую информацию о безопасности. Обращаемся к работникам системы здравоохранения с просьбой сообщать о любых подозреваемых нежелательных реакциях.</w:t>
      </w:r>
    </w:p>
    <w:p w14:paraId="321D9214" w14:textId="77777777" w:rsidR="00372082" w:rsidRPr="00015B24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79E19B" w14:textId="77777777" w:rsidR="00280121" w:rsidRPr="00015B24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14:paraId="65D0D711" w14:textId="77777777" w:rsidR="001872CE" w:rsidRPr="00015B24" w:rsidRDefault="00B821A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D354F" w:rsidRPr="00015B24">
        <w:rPr>
          <w:rFonts w:ascii="Times New Roman" w:eastAsia="Times New Roman" w:hAnsi="Times New Roman"/>
          <w:sz w:val="24"/>
          <w:szCs w:val="24"/>
          <w:lang w:eastAsia="ru-RU"/>
        </w:rPr>
        <w:t>бетимус</w:t>
      </w:r>
      <w:proofErr w:type="spellEnd"/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15B24"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5 мг и 10 мг,  </w:t>
      </w:r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>таблетк</w:t>
      </w:r>
      <w:r w:rsidR="00015B24" w:rsidRPr="00015B24">
        <w:rPr>
          <w:rFonts w:ascii="Times New Roman" w:eastAsia="Times New Roman" w:hAnsi="Times New Roman"/>
          <w:sz w:val="24"/>
          <w:szCs w:val="24"/>
          <w:lang w:eastAsia="ru-RU"/>
        </w:rPr>
        <w:t>и, покрытые пленочной оболочкой</w:t>
      </w:r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7D78643" w14:textId="77777777" w:rsidR="00B01011" w:rsidRPr="00015B24" w:rsidRDefault="00B0101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467F13" w14:textId="77777777" w:rsidR="003C07E3" w:rsidRPr="00015B24" w:rsidRDefault="003C07E3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2175220285"/>
      <w:bookmarkStart w:id="1" w:name="OCRUncertain022"/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14:paraId="2585C15D" w14:textId="77777777" w:rsidR="001872CE" w:rsidRPr="00015B24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15B24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2.1 Общее описание</w:t>
      </w:r>
      <w:r w:rsidRPr="00015B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757CEE0" w14:textId="77777777" w:rsidR="00D60C5A" w:rsidRPr="00015B24" w:rsidRDefault="006947E6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кислота</w:t>
      </w:r>
    </w:p>
    <w:p w14:paraId="1EA822CC" w14:textId="77777777" w:rsidR="00D60C5A" w:rsidRPr="00015B24" w:rsidRDefault="00D60C5A" w:rsidP="004C6349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</w:pPr>
      <w:r w:rsidRPr="00015B24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2.2 Качественный и количественный состав</w:t>
      </w:r>
    </w:p>
    <w:p w14:paraId="334BA129" w14:textId="77777777" w:rsidR="00A074C5" w:rsidRPr="00015B24" w:rsidRDefault="004C6349" w:rsidP="004C63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Каждая таблетка, покрытая пленочной оболочкой,</w:t>
      </w:r>
      <w:r w:rsidR="00A074C5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содержит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</w:p>
    <w:p w14:paraId="77726C72" w14:textId="77777777" w:rsidR="00A074C5" w:rsidRPr="00015B24" w:rsidRDefault="00A074C5" w:rsidP="002E7E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активное вещество </w:t>
      </w:r>
      <w:r w:rsidR="002E7E15" w:rsidRPr="00015B2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–</w:t>
      </w:r>
      <w:r w:rsidRPr="00015B2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="002E7E15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обетихолевая</w:t>
      </w:r>
      <w:proofErr w:type="spellEnd"/>
      <w:r w:rsidR="002E7E15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кислота 5.00 мг или 10.00 мг;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7BB74759" w14:textId="77777777" w:rsidR="00DD354F" w:rsidRPr="00015B24" w:rsidRDefault="00DD354F" w:rsidP="00DD35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вспомогательные вещества: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натрия крахмала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гликолят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Primojel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Type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-A)</w:t>
      </w:r>
      <w:r w:rsidR="006F62A2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1391DF0" w14:textId="77777777" w:rsidR="00015B24" w:rsidRPr="00015B24" w:rsidRDefault="00015B24" w:rsidP="00DD35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73E5CB9" w14:textId="77777777" w:rsidR="00DD354F" w:rsidRPr="00015B24" w:rsidRDefault="00DD354F" w:rsidP="00DD35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Полный список вспомогательных веществ см. в пункте 6.1.</w:t>
      </w:r>
    </w:p>
    <w:p w14:paraId="3E780B8F" w14:textId="77777777" w:rsidR="00005E31" w:rsidRPr="00015B24" w:rsidRDefault="00005E3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2175220286"/>
    </w:p>
    <w:p w14:paraId="1E604B70" w14:textId="77777777" w:rsidR="00B7231F" w:rsidRPr="00015B24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2"/>
    <w:p w14:paraId="6F3ABD09" w14:textId="77777777" w:rsidR="00CD6AF7" w:rsidRPr="00015B24" w:rsidRDefault="00CD6AF7" w:rsidP="0078568D">
      <w:pPr>
        <w:pStyle w:val="Default"/>
        <w:jc w:val="both"/>
        <w:rPr>
          <w:spacing w:val="-4"/>
        </w:rPr>
      </w:pPr>
      <w:r w:rsidRPr="00015B24">
        <w:rPr>
          <w:spacing w:val="-4"/>
        </w:rPr>
        <w:t>Таблетки, покрытые пленочной оболочкой.</w:t>
      </w:r>
    </w:p>
    <w:p w14:paraId="3B72E8B2" w14:textId="77777777" w:rsidR="00BD7CAA" w:rsidRPr="00015B24" w:rsidRDefault="00BD7CAA" w:rsidP="00BD7C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bookmarkStart w:id="3" w:name="_Hlk75182514"/>
      <w:r w:rsidRPr="00015B24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Таблетки круглой формы, покрытые пленочной оболочкой желтого цвета, на одной стороне выгравировано «5», на другой стороне «ОР» (для дозировки 5 мг).</w:t>
      </w:r>
    </w:p>
    <w:p w14:paraId="4255DA31" w14:textId="77777777" w:rsidR="00BD7CAA" w:rsidRPr="00015B24" w:rsidRDefault="00BD7CAA" w:rsidP="00BD7C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015B24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Таблетки круглой формы, покрытые пленочной оболочкой желтого цвета, на одной стороне выгравировано «6», на другой стороне «ОР» (для дозировки 10 мг).</w:t>
      </w:r>
    </w:p>
    <w:bookmarkEnd w:id="3"/>
    <w:p w14:paraId="72A0685C" w14:textId="77777777" w:rsidR="00005E31" w:rsidRPr="00015B24" w:rsidRDefault="00005E31" w:rsidP="00BD7CA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D0741B" w14:textId="77777777" w:rsidR="002C1660" w:rsidRPr="00015B24" w:rsidRDefault="00B7231F" w:rsidP="00BD7CA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6E02EBD3" w14:textId="77777777" w:rsidR="005444B2" w:rsidRPr="00015B24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015B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015B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015B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015B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011DEA74" w14:textId="77777777" w:rsidR="005444B2" w:rsidRPr="00015B24" w:rsidRDefault="00346528" w:rsidP="0078568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Hlk75181976"/>
      <w:r w:rsidRPr="00015B24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Pr="00015B24">
        <w:rPr>
          <w:rFonts w:ascii="Times New Roman" w:hAnsi="Times New Roman"/>
          <w:sz w:val="24"/>
          <w:szCs w:val="24"/>
        </w:rPr>
        <w:t>О</w:t>
      </w:r>
      <w:r w:rsidR="00AB5F5C" w:rsidRPr="00015B24">
        <w:rPr>
          <w:rFonts w:ascii="Times New Roman" w:hAnsi="Times New Roman"/>
          <w:sz w:val="24"/>
          <w:szCs w:val="24"/>
        </w:rPr>
        <w:t>бетимус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показан для лечения первичного </w:t>
      </w:r>
      <w:proofErr w:type="spellStart"/>
      <w:r w:rsidRPr="00015B24">
        <w:rPr>
          <w:rFonts w:ascii="Times New Roman" w:hAnsi="Times New Roman"/>
          <w:sz w:val="24"/>
          <w:szCs w:val="24"/>
        </w:rPr>
        <w:t>билиарного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холангита</w:t>
      </w:r>
      <w:r w:rsidR="00AB5F5C" w:rsidRPr="00015B24">
        <w:rPr>
          <w:rFonts w:ascii="Times New Roman" w:hAnsi="Times New Roman"/>
          <w:sz w:val="24"/>
          <w:szCs w:val="24"/>
        </w:rPr>
        <w:t xml:space="preserve"> (ПБХ)</w:t>
      </w:r>
      <w:r w:rsidRPr="00015B24">
        <w:rPr>
          <w:rFonts w:ascii="Times New Roman" w:hAnsi="Times New Roman"/>
          <w:sz w:val="24"/>
          <w:szCs w:val="24"/>
        </w:rPr>
        <w:t xml:space="preserve"> (также известного как первичный </w:t>
      </w:r>
      <w:proofErr w:type="spellStart"/>
      <w:r w:rsidRPr="00015B24">
        <w:rPr>
          <w:rFonts w:ascii="Times New Roman" w:hAnsi="Times New Roman"/>
          <w:sz w:val="24"/>
          <w:szCs w:val="24"/>
        </w:rPr>
        <w:t>билиарный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цирроз) в комбинации с </w:t>
      </w:r>
      <w:proofErr w:type="spellStart"/>
      <w:r w:rsidRPr="00015B24">
        <w:rPr>
          <w:rFonts w:ascii="Times New Roman" w:hAnsi="Times New Roman"/>
          <w:sz w:val="24"/>
          <w:szCs w:val="24"/>
        </w:rPr>
        <w:t>урсодезоксихолевой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кислотой (УДХК) у взрослых </w:t>
      </w:r>
      <w:r w:rsidR="00AB5F5C" w:rsidRPr="00015B24">
        <w:rPr>
          <w:rFonts w:ascii="Times New Roman" w:hAnsi="Times New Roman"/>
          <w:sz w:val="24"/>
          <w:szCs w:val="24"/>
        </w:rPr>
        <w:t xml:space="preserve">в случае, если ее применение в качестве </w:t>
      </w:r>
      <w:proofErr w:type="spellStart"/>
      <w:r w:rsidR="00AB5F5C" w:rsidRPr="00015B24">
        <w:rPr>
          <w:rFonts w:ascii="Times New Roman" w:hAnsi="Times New Roman"/>
          <w:sz w:val="24"/>
          <w:szCs w:val="24"/>
        </w:rPr>
        <w:t>монолечения</w:t>
      </w:r>
      <w:proofErr w:type="spellEnd"/>
      <w:r w:rsidR="00AB5F5C" w:rsidRPr="00015B24">
        <w:rPr>
          <w:rFonts w:ascii="Times New Roman" w:hAnsi="Times New Roman"/>
          <w:sz w:val="24"/>
          <w:szCs w:val="24"/>
        </w:rPr>
        <w:t xml:space="preserve"> не дает положительного результата,</w:t>
      </w:r>
      <w:r w:rsidRPr="00015B24">
        <w:rPr>
          <w:rFonts w:ascii="Times New Roman" w:hAnsi="Times New Roman"/>
          <w:sz w:val="24"/>
          <w:szCs w:val="24"/>
        </w:rPr>
        <w:t xml:space="preserve"> или в качестве </w:t>
      </w:r>
      <w:proofErr w:type="spellStart"/>
      <w:r w:rsidRPr="00015B24">
        <w:rPr>
          <w:rFonts w:ascii="Times New Roman" w:hAnsi="Times New Roman"/>
          <w:sz w:val="24"/>
          <w:szCs w:val="24"/>
        </w:rPr>
        <w:t>монотерапии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у взрослых, не переносящих</w:t>
      </w:r>
      <w:r w:rsidR="00AB5F5C" w:rsidRPr="00015B24">
        <w:rPr>
          <w:rFonts w:ascii="Times New Roman" w:hAnsi="Times New Roman"/>
          <w:sz w:val="24"/>
          <w:szCs w:val="24"/>
        </w:rPr>
        <w:t xml:space="preserve"> терапию с использованием</w:t>
      </w:r>
      <w:r w:rsidRPr="00015B24">
        <w:rPr>
          <w:rFonts w:ascii="Times New Roman" w:hAnsi="Times New Roman"/>
          <w:sz w:val="24"/>
          <w:szCs w:val="24"/>
        </w:rPr>
        <w:t xml:space="preserve"> УДХК.</w:t>
      </w:r>
      <w:r w:rsidR="00832A7E" w:rsidRPr="00015B24">
        <w:rPr>
          <w:rFonts w:ascii="Times New Roman" w:hAnsi="Times New Roman"/>
          <w:sz w:val="24"/>
          <w:szCs w:val="24"/>
        </w:rPr>
        <w:t xml:space="preserve"> </w:t>
      </w:r>
    </w:p>
    <w:p w14:paraId="73B80DB9" w14:textId="77777777" w:rsidR="005454A0" w:rsidRPr="00015B24" w:rsidRDefault="005454A0" w:rsidP="0078568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F36B24" w14:textId="77777777" w:rsidR="00B7231F" w:rsidRPr="00015B24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5" w:name="2175220274"/>
      <w:bookmarkEnd w:id="4"/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73622FE6" w14:textId="77777777" w:rsidR="00891EB8" w:rsidRPr="00015B24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p w14:paraId="18D47315" w14:textId="77777777" w:rsidR="004B72F5" w:rsidRPr="00015B24" w:rsidRDefault="004B72F5" w:rsidP="004B72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_Hlk75182154"/>
      <w:bookmarkEnd w:id="5"/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началом лечения </w:t>
      </w:r>
      <w:proofErr w:type="spellStart"/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кислотой необходимо знать о состоянии печени пациента.</w:t>
      </w:r>
      <w:r w:rsidR="005454A0"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у пациента декомпенсированного цирроза печени (включая класс B или C по Чайлд-Пью) или предшествующее событие декомпенсации следует определить до начала лечения, поскольку </w:t>
      </w:r>
      <w:proofErr w:type="spellStart"/>
      <w:r w:rsidR="005454A0" w:rsidRPr="00015B24">
        <w:rPr>
          <w:rFonts w:ascii="Times New Roman" w:eastAsia="Times New Roman" w:hAnsi="Times New Roman"/>
          <w:sz w:val="24"/>
          <w:szCs w:val="24"/>
          <w:lang w:eastAsia="ru-RU"/>
        </w:rPr>
        <w:t>обетихолевая</w:t>
      </w:r>
      <w:proofErr w:type="spellEnd"/>
      <w:r w:rsidR="005454A0"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кислота противопоказана </w:t>
      </w:r>
      <w:r w:rsidR="00783467" w:rsidRPr="00015B24">
        <w:rPr>
          <w:rFonts w:ascii="Times New Roman" w:eastAsia="Times New Roman" w:hAnsi="Times New Roman"/>
          <w:sz w:val="24"/>
          <w:szCs w:val="24"/>
          <w:lang w:eastAsia="ru-RU"/>
        </w:rPr>
        <w:t>данным</w:t>
      </w:r>
      <w:r w:rsidR="005454A0"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 пациентам (см. разделы 4.3 и 4.4).</w:t>
      </w:r>
    </w:p>
    <w:p w14:paraId="294FAF18" w14:textId="77777777" w:rsidR="004B72F5" w:rsidRPr="00015B24" w:rsidRDefault="004B72F5" w:rsidP="004B72F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Начальная доза </w:t>
      </w:r>
      <w:r w:rsidR="005454A0" w:rsidRPr="00015B24">
        <w:rPr>
          <w:rFonts w:ascii="Times New Roman" w:eastAsia="Times New Roman" w:hAnsi="Times New Roman"/>
          <w:sz w:val="24"/>
          <w:szCs w:val="24"/>
          <w:lang w:eastAsia="ru-RU"/>
        </w:rPr>
        <w:t>составляет 5 мг в течение первых 6 месяцев.</w:t>
      </w: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70FCE39D" w14:textId="77777777" w:rsidR="005454A0" w:rsidRPr="00015B24" w:rsidRDefault="005454A0" w:rsidP="004B72F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После первых 6 месяцев для пациентов, у которых не достигнуто адекватного снижения уровня щелочной фосфатазы (ЩФ) и/или общего билирубина и которые хорошо переносят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</w:t>
      </w:r>
      <w:r w:rsidR="00DD6C4F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ев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кислоту, увеличьте до максимальной дозы 10 мг </w:t>
      </w:r>
      <w:r w:rsidR="00783467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сс частотой приема 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один раз в сутки.</w:t>
      </w:r>
    </w:p>
    <w:p w14:paraId="30B4EB35" w14:textId="77777777" w:rsidR="004B72F5" w:rsidRPr="00015B24" w:rsidRDefault="005670CD" w:rsidP="004B72F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 пациентов, получающих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кислоту, коррекции дозы </w:t>
      </w:r>
      <w:r w:rsidR="00DD6C4F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сопутствующей УДХК не требуется.</w:t>
      </w:r>
    </w:p>
    <w:p w14:paraId="27B01CC2" w14:textId="77777777" w:rsidR="005670CD" w:rsidRPr="00015B24" w:rsidRDefault="005670CD" w:rsidP="005670CD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Лечение и коррекция дозы при сильном зуде</w:t>
      </w:r>
    </w:p>
    <w:p w14:paraId="2A4C036A" w14:textId="77777777" w:rsidR="005670CD" w:rsidRPr="00015B24" w:rsidRDefault="005670CD" w:rsidP="005670C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Стратегии лечения включают добавление смол, связывающих желчные кислоты, или антигистаминных препаратов.</w:t>
      </w:r>
    </w:p>
    <w:p w14:paraId="412BB12E" w14:textId="77777777" w:rsidR="005670CD" w:rsidRPr="00015B24" w:rsidRDefault="00B00814" w:rsidP="005670C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Для пациентов с тяжелой непереносимостью из-за зуда следует учитывать один или несколько из следующих вариантов:</w:t>
      </w:r>
    </w:p>
    <w:p w14:paraId="443909FA" w14:textId="77777777" w:rsidR="00B00814" w:rsidRPr="00015B24" w:rsidRDefault="00B00814" w:rsidP="00B008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Уменьшение дозировки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кислоты:</w:t>
      </w:r>
    </w:p>
    <w:p w14:paraId="5B40949C" w14:textId="77777777" w:rsidR="00B00814" w:rsidRPr="00015B24" w:rsidRDefault="00B00814" w:rsidP="00B008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="00360689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прием 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5 мг через день для пациентов с непереносимостью до 5 мг один раз в день</w:t>
      </w:r>
    </w:p>
    <w:p w14:paraId="579207E0" w14:textId="77777777" w:rsidR="00B00814" w:rsidRPr="00015B24" w:rsidRDefault="00B00814" w:rsidP="00B008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="00360689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прием 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5 мг один раз в день для пациентов с непереносимостью до 10 мг один раз в день</w:t>
      </w:r>
    </w:p>
    <w:p w14:paraId="18450919" w14:textId="77777777" w:rsidR="00B00814" w:rsidRPr="00015B24" w:rsidRDefault="00B00814" w:rsidP="00B008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Временное прерывание приема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</w:t>
      </w:r>
      <w:r w:rsidR="00071CE0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вой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кислоты на срок до 2 недель с последующим возобновлением приема в уменьшенной дозировке.</w:t>
      </w:r>
    </w:p>
    <w:p w14:paraId="2B7ACD10" w14:textId="77777777" w:rsidR="00B00814" w:rsidRPr="00015B24" w:rsidRDefault="00071CE0" w:rsidP="00B008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 п</w:t>
      </w:r>
      <w:r w:rsidR="00B00814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родолж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ать</w:t>
      </w:r>
      <w:r w:rsidR="00B00814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увеличивать дозу до 10 мг один раз в 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сутки</w:t>
      </w:r>
      <w:r w:rsidR="00B00814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мере переносимости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</w:t>
      </w:r>
      <w:r w:rsidR="00B00814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дости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жения</w:t>
      </w:r>
      <w:r w:rsidR="00B00814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оптимального ответа.</w:t>
      </w:r>
    </w:p>
    <w:p w14:paraId="2119B582" w14:textId="77777777" w:rsidR="0072480B" w:rsidRPr="00015B24" w:rsidRDefault="0072480B" w:rsidP="0072480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Необходимо рассмотреть вопрос об отмене терапии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кислотой у пациентов, продолжающих испытывать стойкий непереносимый зуд.</w:t>
      </w:r>
    </w:p>
    <w:p w14:paraId="7254F5C5" w14:textId="77777777" w:rsidR="00D01ABE" w:rsidRPr="00015B24" w:rsidRDefault="00D01ABE" w:rsidP="00D01ABE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Смолы, связывающие желчные кислоты</w:t>
      </w:r>
    </w:p>
    <w:p w14:paraId="40657396" w14:textId="77777777" w:rsidR="00D01ABE" w:rsidRPr="00015B24" w:rsidRDefault="00D01ABE" w:rsidP="00D01AB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пациентов, принимающих смолы, связывающие желчные кислоты, </w:t>
      </w:r>
      <w:proofErr w:type="spellStart"/>
      <w:r w:rsidR="00596759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Обетимус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следует </w:t>
      </w:r>
      <w:r w:rsidR="00596759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принять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крайней мере за 4-6 часов до или через 4-6 часов после приема смолы, связывающей желчные кислоты, или с максимально возможным интервалом (см. раздел 4.5).</w:t>
      </w:r>
    </w:p>
    <w:p w14:paraId="0F10266D" w14:textId="77777777" w:rsidR="00B23276" w:rsidRPr="00015B24" w:rsidRDefault="00B23276" w:rsidP="00B2327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Пропущенная доза</w:t>
      </w:r>
    </w:p>
    <w:p w14:paraId="799ECA68" w14:textId="77777777" w:rsidR="00B23276" w:rsidRPr="00015B24" w:rsidRDefault="00B23276" w:rsidP="00B232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пропуска приема дозы, не следует принимать двойную дозу, чтобы восполнить пропущенную дозу. Продолжайте прием лекарства согласно установленному графику.</w:t>
      </w:r>
    </w:p>
    <w:p w14:paraId="5BC7FB6E" w14:textId="77777777" w:rsidR="009F5A85" w:rsidRPr="00015B24" w:rsidRDefault="00B21CF0" w:rsidP="004B72F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группы пациентов</w:t>
      </w:r>
    </w:p>
    <w:p w14:paraId="22058A59" w14:textId="77777777" w:rsidR="0072480B" w:rsidRPr="00015B24" w:rsidRDefault="0072480B" w:rsidP="0072480B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Пациенты с печеночной недостаточностью</w:t>
      </w:r>
    </w:p>
    <w:p w14:paraId="49993493" w14:textId="77777777" w:rsidR="007852E7" w:rsidRPr="00015B24" w:rsidRDefault="007852E7" w:rsidP="0072480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кислота противопоказана пациентам с декомпенсированным циррозом печени (например, классы В или С по Чайлд-Пью) или лицам, у которых уже ранее наблюдалась декомпенсация (см. разделы 4.3 и 4.4). </w:t>
      </w:r>
    </w:p>
    <w:p w14:paraId="1582C6BE" w14:textId="77777777" w:rsidR="0072480B" w:rsidRPr="00015B24" w:rsidRDefault="0072480B" w:rsidP="0072480B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Пациенты пожилого возраста (&gt; 65 лет)</w:t>
      </w:r>
    </w:p>
    <w:p w14:paraId="550F2A9C" w14:textId="77777777" w:rsidR="0072480B" w:rsidRPr="00015B24" w:rsidRDefault="0072480B" w:rsidP="0072480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данной группы пациентов имеются ограниченные данные. Коррекции дозы не требуется (см. </w:t>
      </w:r>
      <w:r w:rsidR="00273FBD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аздел 5.2).</w:t>
      </w:r>
    </w:p>
    <w:p w14:paraId="41E2765E" w14:textId="77777777" w:rsidR="0072480B" w:rsidRPr="00015B24" w:rsidRDefault="0072480B" w:rsidP="0072480B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Пациенты с почечной недостаточностью</w:t>
      </w:r>
    </w:p>
    <w:p w14:paraId="27E3C9DE" w14:textId="77777777" w:rsidR="0072480B" w:rsidRPr="00015B24" w:rsidRDefault="0072480B" w:rsidP="0072480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 w:rsidR="006B1606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данной группы пациентов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коррекции дозы не требуется (см. </w:t>
      </w:r>
      <w:r w:rsidR="00273FBD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аздел 5.2).</w:t>
      </w:r>
    </w:p>
    <w:p w14:paraId="68C41BB1" w14:textId="77777777" w:rsidR="006B1606" w:rsidRPr="00015B24" w:rsidRDefault="006B1606" w:rsidP="006B160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Дети</w:t>
      </w:r>
    </w:p>
    <w:p w14:paraId="46675188" w14:textId="77777777" w:rsidR="006B1606" w:rsidRPr="00015B24" w:rsidRDefault="006B1606" w:rsidP="006B160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кислота не используется в педиатрической практике для лечения первичного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билиарного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холангита (ПБХ).</w:t>
      </w:r>
    </w:p>
    <w:p w14:paraId="04AFAE65" w14:textId="77777777" w:rsidR="009F5A85" w:rsidRPr="00015B24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5B24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62C1FFF4" w14:textId="77777777" w:rsidR="00F42D3C" w:rsidRPr="00015B24" w:rsidRDefault="006B1606" w:rsidP="0078568D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015B24">
        <w:rPr>
          <w:rFonts w:ascii="Times New Roman" w:hAnsi="Times New Roman"/>
          <w:sz w:val="24"/>
          <w:szCs w:val="24"/>
        </w:rPr>
        <w:t>Перорально</w:t>
      </w:r>
      <w:r w:rsidR="000803B4" w:rsidRPr="00015B24">
        <w:rPr>
          <w:rFonts w:ascii="Times New Roman" w:hAnsi="Times New Roman"/>
          <w:sz w:val="24"/>
          <w:szCs w:val="24"/>
        </w:rPr>
        <w:t>, в</w:t>
      </w:r>
      <w:r w:rsidR="000803B4" w:rsidRPr="00015B24">
        <w:rPr>
          <w:rFonts w:ascii="Times New Roman" w:eastAsia="Microsoft Sans Serif" w:hAnsi="Times New Roman"/>
          <w:sz w:val="24"/>
          <w:szCs w:val="24"/>
          <w:lang w:bidi="ru-RU"/>
        </w:rPr>
        <w:t>о время приема пищи или без нее.</w:t>
      </w:r>
    </w:p>
    <w:bookmarkEnd w:id="6"/>
    <w:p w14:paraId="4785145F" w14:textId="77777777" w:rsidR="0078568D" w:rsidRPr="00015B24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6B6D75" w14:textId="77777777" w:rsidR="007D0E84" w:rsidRPr="00015B24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4F52FF63" w14:textId="77777777" w:rsidR="0088181D" w:rsidRPr="00015B24" w:rsidRDefault="001D01DD" w:rsidP="001D01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_Hlk75181994"/>
      <w:r w:rsidRPr="00015B24">
        <w:rPr>
          <w:rFonts w:ascii="Times New Roman" w:hAnsi="Times New Roman"/>
          <w:sz w:val="24"/>
          <w:szCs w:val="24"/>
        </w:rPr>
        <w:t>-</w:t>
      </w:r>
      <w:r w:rsidR="0088181D" w:rsidRPr="00015B24">
        <w:rPr>
          <w:rFonts w:ascii="Times New Roman" w:hAnsi="Times New Roman"/>
          <w:sz w:val="24"/>
          <w:szCs w:val="24"/>
        </w:rPr>
        <w:t xml:space="preserve"> гиперчувствительность к действующему веществу, или к любому из вспомогательных веществ, перечисленных в разделе 6.1</w:t>
      </w:r>
    </w:p>
    <w:p w14:paraId="3E1C69A8" w14:textId="77777777" w:rsidR="00485BF7" w:rsidRPr="00015B24" w:rsidRDefault="00485BF7" w:rsidP="001D01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>- пациенты с декомпенсированным циррозом печени (например, класс B или C по шкале Чайлд-Пью) или с декомпенсацией в анамнезе (см. раздел 4.4).</w:t>
      </w:r>
    </w:p>
    <w:p w14:paraId="630E3310" w14:textId="77777777" w:rsidR="007D0E84" w:rsidRPr="00015B24" w:rsidRDefault="001D01DD" w:rsidP="001D01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88181D" w:rsidRPr="00015B24">
        <w:rPr>
          <w:rFonts w:ascii="Times New Roman" w:hAnsi="Times New Roman"/>
          <w:sz w:val="24"/>
          <w:szCs w:val="24"/>
        </w:rPr>
        <w:t>п</w:t>
      </w:r>
      <w:r w:rsidRPr="00015B24">
        <w:rPr>
          <w:rFonts w:ascii="Times New Roman" w:hAnsi="Times New Roman"/>
          <w:sz w:val="24"/>
          <w:szCs w:val="24"/>
        </w:rPr>
        <w:t>олная непроходимость желчевыводящих путей</w:t>
      </w:r>
    </w:p>
    <w:bookmarkEnd w:id="7"/>
    <w:p w14:paraId="32C9CF45" w14:textId="77777777" w:rsidR="001D01DD" w:rsidRPr="00015B24" w:rsidRDefault="001D01DD" w:rsidP="001D01D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215779" w14:textId="77777777" w:rsidR="00B10089" w:rsidRPr="00015B24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015B24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3125626C" w14:textId="77777777" w:rsidR="0006079B" w:rsidRPr="00015B24" w:rsidRDefault="0006079B" w:rsidP="0006079B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bookmarkStart w:id="8" w:name="_Hlk75182053"/>
      <w:r w:rsidRPr="00015B2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Не</w:t>
      </w:r>
      <w:r w:rsidR="00AD58FF" w:rsidRPr="00015B2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желательные реакции</w:t>
      </w:r>
      <w:r w:rsidRPr="00015B2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, связанные с печенью</w:t>
      </w:r>
    </w:p>
    <w:p w14:paraId="023D9C30" w14:textId="77777777" w:rsidR="00472C68" w:rsidRPr="00015B24" w:rsidRDefault="00472C68" w:rsidP="00472C6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Сообщалось о печеночной недостаточности, иногда со смертельным исходом или приводящей к трансплантации печени, при лечении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обетихоловой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кислотой у пациентов с ПБХ с компенсированным или декомпенсированным циррозом.</w:t>
      </w:r>
    </w:p>
    <w:p w14:paraId="109D847A" w14:textId="77777777" w:rsidR="00472C68" w:rsidRPr="00015B24" w:rsidRDefault="00472C68" w:rsidP="00472C6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Некоторые из этих случаев имели место у пациентов с декомпенсированным циррозом печени, когда они получали дозу, превышающую рекомендуемую для этой группы пациентов; однако продолжали поступать сообщения о случаях печеночной декомпенсации и недостаточности у пациентов с декомпенсированным циррозом, даже когда они получали рекомендуемую дозу. </w:t>
      </w:r>
    </w:p>
    <w:p w14:paraId="05F00827" w14:textId="77777777" w:rsidR="0006079B" w:rsidRPr="00015B24" w:rsidRDefault="0006079B" w:rsidP="00472C6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Повышение уровня аланинаминотрансферазы (АЛТ) и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аспартатаминотрансферазы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(АСТ) наблюдалось у пациентов, принимавших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кислоту. Также наблюдались клинические признаки и симптомы печеночной декомпенсации. Данные события происходили в течение первого месяца лечения. Связанные с печенью побочные эффекты в основном наблюдались при дозах, превышающих максимальную рекомендуемую - 10 мг один раз в сутки (см. </w:t>
      </w:r>
      <w:r w:rsidR="007577F1" w:rsidRPr="00015B24">
        <w:rPr>
          <w:rFonts w:ascii="Times New Roman" w:eastAsia="Times New Roman" w:hAnsi="Times New Roman"/>
          <w:bCs/>
          <w:iCs/>
          <w:sz w:val="24"/>
          <w:szCs w:val="24"/>
          <w:lang w:val="kk-KZ" w:eastAsia="ru-RU"/>
        </w:rPr>
        <w:t>р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аздел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4.9). </w:t>
      </w:r>
    </w:p>
    <w:p w14:paraId="647583C0" w14:textId="77777777" w:rsidR="00D85FB6" w:rsidRPr="00015B24" w:rsidRDefault="0006079B" w:rsidP="00D85FB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После начала терапии все пациенты должны </w:t>
      </w:r>
      <w:r w:rsidR="00E1616F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подвергаться мониторингу</w:t>
      </w: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 предмет прогрессирования ПБ</w:t>
      </w:r>
      <w:r w:rsidR="00696E41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Х</w:t>
      </w:r>
      <w:r w:rsidR="002A2E96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включая развитие нежелательных реакций со стороны печени</w:t>
      </w: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 лабораторной и клинической оценкой</w:t>
      </w:r>
      <w:r w:rsidR="00E1616F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для</w:t>
      </w: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определ</w:t>
      </w:r>
      <w:r w:rsidR="00E1616F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ения </w:t>
      </w: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необходимост</w:t>
      </w:r>
      <w:r w:rsidR="00E1616F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</w:t>
      </w: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2A2E96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прекращения лечения </w:t>
      </w:r>
      <w:proofErr w:type="spellStart"/>
      <w:r w:rsidR="002A2E96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обетихолевой</w:t>
      </w:r>
      <w:proofErr w:type="spellEnd"/>
      <w:r w:rsidR="002A2E96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кислотой</w:t>
      </w: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Пациенты с повышенным риском печеночной декомпенсации, включая пациентов </w:t>
      </w:r>
      <w:r w:rsidR="00B2471D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 повышенным уровнем билирубина, признаками портальной гипертензии (например, асцит, </w:t>
      </w:r>
      <w:proofErr w:type="spellStart"/>
      <w:r w:rsidR="00B2471D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гастроэзофагеальный</w:t>
      </w:r>
      <w:proofErr w:type="spellEnd"/>
      <w:r w:rsidR="00B2471D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варикоз, </w:t>
      </w:r>
      <w:proofErr w:type="spellStart"/>
      <w:r w:rsidR="00B2471D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персистирующая</w:t>
      </w:r>
      <w:proofErr w:type="spellEnd"/>
      <w:r w:rsidR="00B2471D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тромбоцитопения), сопутствующее заболевание печени (например, аутоиммунный гепатит, алкогольная болезнь печени) и/или тяжелое интеркуррентное заболевание</w:t>
      </w: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должны находиться под более тщательным наблюдением</w:t>
      </w:r>
      <w:r w:rsidR="00B2471D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 случай необходимости прерывания терапии </w:t>
      </w:r>
      <w:proofErr w:type="spellStart"/>
      <w:r w:rsidR="00B2471D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обетихолевой</w:t>
      </w:r>
      <w:proofErr w:type="spellEnd"/>
      <w:r w:rsidR="00B2471D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кислотой</w:t>
      </w: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  <w:r w:rsidR="00D85FB6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Лечение </w:t>
      </w:r>
      <w:proofErr w:type="spellStart"/>
      <w:r w:rsidR="00D85FB6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обетихолевой</w:t>
      </w:r>
      <w:proofErr w:type="spellEnd"/>
      <w:r w:rsidR="00D85FB6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кислотой у пациентов с лабораторными или клиническими признаками печеночной декомпенсации (например, асцит, желтуха, кровотечение варикозных вен, печеночная энцефалопатия), включая прогрессирование до класса B или C по Чайлд-Пью, следует окончательно и незамедлительно завершить (см. раздел 4.3).</w:t>
      </w:r>
    </w:p>
    <w:p w14:paraId="0B4C56D0" w14:textId="77777777" w:rsidR="000A15B0" w:rsidRPr="00015B24" w:rsidRDefault="00D85FB6" w:rsidP="00D85FB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Лечение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кислотой следует прервать при тяжелых интеркуррентных заболеваниях или у пациентов с клинически значимыми побочными реакциями со стороны печени, а также следует контролировать функцию печени пациента. После разрешения и при отсутствии лабораторных или клинических признаков печеночной декомпенсации следует рассмотреть потенциальные риски и преимущества возобновления лечения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кислотой.</w:t>
      </w:r>
    </w:p>
    <w:p w14:paraId="0AAB18EC" w14:textId="77777777" w:rsidR="00E1616F" w:rsidRPr="00015B24" w:rsidRDefault="00E1616F" w:rsidP="00E1616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Сильный зуд</w:t>
      </w:r>
    </w:p>
    <w:p w14:paraId="60E7C16A" w14:textId="77777777" w:rsidR="00E1616F" w:rsidRPr="00015B24" w:rsidRDefault="00E1616F" w:rsidP="00E1616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 случаях зуда в тяжелой степени сообщалось у 23% пациентов, получавших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кислоту в дозировке 10 мг, у 19% пациентов в группе титрования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кислоты и у 7% пациентов в группе плацебо. Среднее время до начала тяжелого зуда составляло 11, 158 и 75 дней для пациентов, получавших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кислоту 10 мг, титрование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кислоты и плацебо, соответственно. Стратегии лечения включают добавление смол, связывающих желчные кислоты или антигистаминных препаратов, снижение дозы, уменьшение частоты дозирования и/или временную отмену (см. </w:t>
      </w:r>
      <w:r w:rsidR="00AD58FF"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</w:t>
      </w: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азделы 4.2 и 4.8).</w:t>
      </w:r>
    </w:p>
    <w:p w14:paraId="35F3FBBD" w14:textId="77777777" w:rsidR="00AD58FF" w:rsidRPr="00015B24" w:rsidRDefault="00AD58FF" w:rsidP="00E1616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Вспомогательные вещества</w:t>
      </w:r>
    </w:p>
    <w:p w14:paraId="6C0D61A4" w14:textId="77777777" w:rsidR="00AC3900" w:rsidRPr="00015B24" w:rsidRDefault="00AC3900" w:rsidP="00E1616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Препарат </w:t>
      </w:r>
      <w:proofErr w:type="spellStart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Обетимус</w:t>
      </w:r>
      <w:proofErr w:type="spellEnd"/>
      <w:r w:rsidRPr="00015B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содержит натрия менее 1 ммоля в одной таблетке, исходя из этого минимального количества, можно считать, что препарат «свободен от натрия».</w:t>
      </w:r>
    </w:p>
    <w:bookmarkEnd w:id="8"/>
    <w:p w14:paraId="5867C491" w14:textId="77777777" w:rsidR="00AD58FF" w:rsidRPr="00015B24" w:rsidRDefault="00AD58FF" w:rsidP="00E1616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FECCF69" w14:textId="77777777" w:rsidR="007D0E84" w:rsidRPr="00015B24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</w:t>
      </w:r>
      <w:r w:rsidR="00B05BD1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5ADDB5BA" w14:textId="77777777" w:rsidR="00AD58FF" w:rsidRPr="00015B24" w:rsidRDefault="00AD58FF" w:rsidP="00AD58FF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bookmarkStart w:id="9" w:name="_Hlk75182033"/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Лекарственные средства, воздействующие на </w:t>
      </w:r>
      <w:proofErr w:type="spellStart"/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кислоту</w:t>
      </w:r>
    </w:p>
    <w:p w14:paraId="06917E76" w14:textId="77777777" w:rsidR="00AD58FF" w:rsidRPr="00015B24" w:rsidRDefault="00AD58FF" w:rsidP="00AD58FF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Смолы, связывающие желчные кислоты</w:t>
      </w:r>
    </w:p>
    <w:p w14:paraId="16AD18D6" w14:textId="77777777" w:rsidR="00AD58FF" w:rsidRPr="00015B24" w:rsidRDefault="00AD58FF" w:rsidP="00F131F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Смолы, связывающие желчные кислоты (такие как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холестирамин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колестипол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колесевелам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адсорбируют и снижают абсорбцию желчных кислот и могут способствовать снижению эффективности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кислоты. При одновременном введении смол, связывающих желчные кислоты,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кислоту следует принимать по крайней мере за 4-6 часов до или через 4-6 часов после приема смол, связывающих желчные кислоты, или как можно позже.</w:t>
      </w:r>
    </w:p>
    <w:p w14:paraId="099E846A" w14:textId="77777777" w:rsidR="00E93605" w:rsidRPr="00015B24" w:rsidRDefault="00E93605" w:rsidP="00F131F1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15B24">
        <w:rPr>
          <w:rFonts w:ascii="Times New Roman" w:hAnsi="Times New Roman"/>
          <w:i/>
          <w:iCs/>
          <w:color w:val="000000"/>
          <w:sz w:val="24"/>
          <w:szCs w:val="24"/>
        </w:rPr>
        <w:t xml:space="preserve">Влияние </w:t>
      </w:r>
      <w:proofErr w:type="spellStart"/>
      <w:r w:rsidRPr="00015B24">
        <w:rPr>
          <w:rFonts w:ascii="Times New Roman" w:hAnsi="Times New Roman"/>
          <w:i/>
          <w:iCs/>
          <w:color w:val="000000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i/>
          <w:iCs/>
          <w:color w:val="000000"/>
          <w:sz w:val="24"/>
          <w:szCs w:val="24"/>
        </w:rPr>
        <w:t xml:space="preserve"> кислоты на другие лекарственные средства </w:t>
      </w:r>
    </w:p>
    <w:p w14:paraId="214A929A" w14:textId="77777777" w:rsidR="00F131F1" w:rsidRPr="00015B24" w:rsidRDefault="00F131F1" w:rsidP="00F131F1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15B24">
        <w:rPr>
          <w:rFonts w:ascii="Times New Roman" w:hAnsi="Times New Roman"/>
          <w:i/>
          <w:iCs/>
          <w:color w:val="000000"/>
          <w:sz w:val="24"/>
          <w:szCs w:val="24"/>
        </w:rPr>
        <w:t>Варфарин</w:t>
      </w:r>
    </w:p>
    <w:p w14:paraId="44E6EB59" w14:textId="77777777" w:rsidR="00CE7F7F" w:rsidRPr="00015B24" w:rsidRDefault="00F131F1" w:rsidP="00F131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15B24">
        <w:rPr>
          <w:rFonts w:ascii="Times New Roman" w:hAnsi="Times New Roman"/>
          <w:color w:val="000000"/>
          <w:sz w:val="24"/>
          <w:szCs w:val="24"/>
        </w:rPr>
        <w:t xml:space="preserve">Международное нормализованное отношение (МНО) снижается после одновременного приема варфарина и </w:t>
      </w:r>
      <w:proofErr w:type="spellStart"/>
      <w:r w:rsidRPr="00015B24">
        <w:rPr>
          <w:rFonts w:ascii="Times New Roman" w:hAnsi="Times New Roman"/>
          <w:color w:val="000000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color w:val="000000"/>
          <w:sz w:val="24"/>
          <w:szCs w:val="24"/>
        </w:rPr>
        <w:t xml:space="preserve"> кислоты. Следует контролировать МНО и при необходимости корректировать дозу варфарина для поддержания целевого диапазона МНО при одновременном применении </w:t>
      </w:r>
      <w:proofErr w:type="spellStart"/>
      <w:r w:rsidRPr="00015B24">
        <w:rPr>
          <w:rFonts w:ascii="Times New Roman" w:hAnsi="Times New Roman"/>
          <w:color w:val="000000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color w:val="000000"/>
          <w:sz w:val="24"/>
          <w:szCs w:val="24"/>
        </w:rPr>
        <w:t xml:space="preserve"> кислоты и варфарина.</w:t>
      </w:r>
    </w:p>
    <w:p w14:paraId="69DF8128" w14:textId="77777777" w:rsidR="00F746BE" w:rsidRPr="00015B24" w:rsidRDefault="00F746BE" w:rsidP="00F746BE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Взаимодействие с субстратами CYP1A2 с узким терапевтическим индексом</w:t>
      </w:r>
    </w:p>
    <w:p w14:paraId="3E6AD4D7" w14:textId="77777777" w:rsidR="00F746BE" w:rsidRPr="00015B24" w:rsidRDefault="00F746BE" w:rsidP="00F746B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кислота может увеличивать воздействие сопутствующих лекарственных препаратов, </w:t>
      </w:r>
      <w:r w:rsidR="00C3435C"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>являющиеся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субстратами CYP1A2. Рекомендуется терапевтический мониторинг субстратов CYP1A2 с узким терапевтическим индексом (например, теофиллина и тизанидина).</w:t>
      </w:r>
    </w:p>
    <w:bookmarkEnd w:id="9"/>
    <w:p w14:paraId="237418DE" w14:textId="77777777" w:rsidR="00801E2C" w:rsidRPr="00015B24" w:rsidRDefault="00801E2C" w:rsidP="00C3435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7EAD18B" w14:textId="77777777" w:rsidR="00B05BD1" w:rsidRPr="00015B24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Фертильность, беременность и лактация.</w:t>
      </w:r>
    </w:p>
    <w:p w14:paraId="4675939E" w14:textId="77777777" w:rsidR="00431DFC" w:rsidRPr="00015B24" w:rsidRDefault="00431DFC" w:rsidP="00431DF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15B24">
        <w:rPr>
          <w:rFonts w:ascii="Times New Roman" w:hAnsi="Times New Roman"/>
          <w:i/>
          <w:color w:val="000000"/>
          <w:sz w:val="24"/>
          <w:szCs w:val="24"/>
        </w:rPr>
        <w:t>Беременность</w:t>
      </w:r>
    </w:p>
    <w:p w14:paraId="27ACF13D" w14:textId="77777777" w:rsidR="00431DFC" w:rsidRPr="00015B24" w:rsidRDefault="00431DFC" w:rsidP="00431DF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10" w:name="_Hlk75182090"/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Нет данных о применении </w:t>
      </w:r>
      <w:proofErr w:type="spellStart"/>
      <w:r w:rsidRPr="00015B24">
        <w:rPr>
          <w:rFonts w:ascii="Times New Roman" w:hAnsi="Times New Roman"/>
          <w:iCs/>
          <w:color w:val="000000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 кислоты у беременных. Исследования на животных не указывают на прямое или косвенное </w:t>
      </w:r>
      <w:r w:rsidR="00F15EBA" w:rsidRPr="00015B24">
        <w:rPr>
          <w:rFonts w:ascii="Times New Roman" w:hAnsi="Times New Roman"/>
          <w:iCs/>
          <w:color w:val="000000"/>
          <w:sz w:val="24"/>
          <w:szCs w:val="24"/>
        </w:rPr>
        <w:t>пагубное</w:t>
      </w:r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 воздействие в отношении репродуктивной токсичности (см. </w:t>
      </w:r>
      <w:r w:rsidR="006E335A" w:rsidRPr="00015B24">
        <w:rPr>
          <w:rFonts w:ascii="Times New Roman" w:hAnsi="Times New Roman"/>
          <w:iCs/>
          <w:color w:val="000000"/>
          <w:sz w:val="24"/>
          <w:szCs w:val="24"/>
        </w:rPr>
        <w:t>р</w:t>
      </w:r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аздел 5.3). В качестве меры предосторожности предпочтительно избегать использования </w:t>
      </w:r>
      <w:proofErr w:type="spellStart"/>
      <w:r w:rsidRPr="00015B24">
        <w:rPr>
          <w:rFonts w:ascii="Times New Roman" w:hAnsi="Times New Roman"/>
          <w:iCs/>
          <w:color w:val="000000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 кислоты в период беременности.</w:t>
      </w:r>
    </w:p>
    <w:p w14:paraId="30AF66A9" w14:textId="77777777" w:rsidR="00431DFC" w:rsidRPr="00015B24" w:rsidRDefault="00431DFC" w:rsidP="00431DF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15B24">
        <w:rPr>
          <w:rFonts w:ascii="Times New Roman" w:hAnsi="Times New Roman"/>
          <w:i/>
          <w:color w:val="000000"/>
          <w:sz w:val="24"/>
          <w:szCs w:val="24"/>
        </w:rPr>
        <w:t>Кормление грудью</w:t>
      </w:r>
    </w:p>
    <w:p w14:paraId="54022F65" w14:textId="77777777" w:rsidR="00431DFC" w:rsidRPr="00015B24" w:rsidRDefault="00431DFC" w:rsidP="00431DF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Неизвестно, выделяется ли </w:t>
      </w:r>
      <w:proofErr w:type="spellStart"/>
      <w:r w:rsidRPr="00015B24">
        <w:rPr>
          <w:rFonts w:ascii="Times New Roman" w:hAnsi="Times New Roman"/>
          <w:iCs/>
          <w:color w:val="000000"/>
          <w:sz w:val="24"/>
          <w:szCs w:val="24"/>
        </w:rPr>
        <w:t>обетихолевая</w:t>
      </w:r>
      <w:proofErr w:type="spellEnd"/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 кислота с грудным молоком. На основании исследований на животных и предполагаемой фармакологии ожидается, что </w:t>
      </w:r>
      <w:proofErr w:type="spellStart"/>
      <w:r w:rsidRPr="00015B24">
        <w:rPr>
          <w:rFonts w:ascii="Times New Roman" w:hAnsi="Times New Roman"/>
          <w:iCs/>
          <w:color w:val="000000"/>
          <w:sz w:val="24"/>
          <w:szCs w:val="24"/>
        </w:rPr>
        <w:t>обетихолевая</w:t>
      </w:r>
      <w:proofErr w:type="spellEnd"/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 кислота не препятствует грудному вскармливанию, а также росту или развитию ребенка, находящегося на грудном вскармливании</w:t>
      </w:r>
      <w:r w:rsidR="00C74BC9" w:rsidRPr="00015B24">
        <w:rPr>
          <w:rFonts w:ascii="Times New Roman" w:hAnsi="Times New Roman"/>
          <w:iCs/>
          <w:color w:val="000000"/>
          <w:sz w:val="24"/>
          <w:szCs w:val="24"/>
        </w:rPr>
        <w:t xml:space="preserve"> (см. раздел 5.3)</w:t>
      </w:r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. Следует принять решение о прекращении грудного вскармливания или о прекращении/воздержании от терапии </w:t>
      </w:r>
      <w:proofErr w:type="spellStart"/>
      <w:r w:rsidRPr="00015B24">
        <w:rPr>
          <w:rFonts w:ascii="Times New Roman" w:hAnsi="Times New Roman"/>
          <w:iCs/>
          <w:color w:val="000000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 кислотой с учетом пользы грудного вскармливания для ребенка и пользы терапии для женщины.</w:t>
      </w:r>
    </w:p>
    <w:p w14:paraId="72E112E6" w14:textId="77777777" w:rsidR="00431DFC" w:rsidRPr="00015B24" w:rsidRDefault="00431DFC" w:rsidP="00431DF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15B24">
        <w:rPr>
          <w:rFonts w:ascii="Times New Roman" w:hAnsi="Times New Roman"/>
          <w:i/>
          <w:color w:val="000000"/>
          <w:sz w:val="24"/>
          <w:szCs w:val="24"/>
        </w:rPr>
        <w:t>Фертильность</w:t>
      </w:r>
    </w:p>
    <w:p w14:paraId="3F9F0042" w14:textId="77777777" w:rsidR="0078568D" w:rsidRPr="00015B24" w:rsidRDefault="00431DFC" w:rsidP="00431D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Данных о </w:t>
      </w:r>
      <w:r w:rsidR="008A62F8" w:rsidRPr="00015B24">
        <w:rPr>
          <w:rFonts w:ascii="Times New Roman" w:hAnsi="Times New Roman"/>
          <w:iCs/>
          <w:color w:val="000000"/>
          <w:sz w:val="24"/>
          <w:szCs w:val="24"/>
        </w:rPr>
        <w:t>воздействии</w:t>
      </w:r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 на фертильность у людей не имеется. </w:t>
      </w:r>
      <w:r w:rsidR="008A62F8" w:rsidRPr="00015B24">
        <w:rPr>
          <w:rFonts w:ascii="Times New Roman" w:hAnsi="Times New Roman"/>
          <w:iCs/>
          <w:color w:val="000000"/>
          <w:sz w:val="24"/>
          <w:szCs w:val="24"/>
        </w:rPr>
        <w:t>Доклинические данные</w:t>
      </w:r>
      <w:r w:rsidRPr="00015B24">
        <w:rPr>
          <w:rFonts w:ascii="Times New Roman" w:hAnsi="Times New Roman"/>
          <w:iCs/>
          <w:color w:val="000000"/>
          <w:sz w:val="24"/>
          <w:szCs w:val="24"/>
        </w:rPr>
        <w:t xml:space="preserve"> не указывают на какое-либо прямое или косвенное воздействие на фертильность или рождаемость (см. </w:t>
      </w:r>
      <w:r w:rsidR="006E335A" w:rsidRPr="00015B24">
        <w:rPr>
          <w:rFonts w:ascii="Times New Roman" w:hAnsi="Times New Roman"/>
          <w:iCs/>
          <w:color w:val="000000"/>
          <w:sz w:val="24"/>
          <w:szCs w:val="24"/>
        </w:rPr>
        <w:t>р</w:t>
      </w:r>
      <w:r w:rsidRPr="00015B24">
        <w:rPr>
          <w:rFonts w:ascii="Times New Roman" w:hAnsi="Times New Roman"/>
          <w:iCs/>
          <w:color w:val="000000"/>
          <w:sz w:val="24"/>
          <w:szCs w:val="24"/>
        </w:rPr>
        <w:t>аздел 5.3).</w:t>
      </w:r>
    </w:p>
    <w:bookmarkEnd w:id="10"/>
    <w:p w14:paraId="51D9C3CF" w14:textId="77777777" w:rsidR="006E335A" w:rsidRPr="00015B24" w:rsidRDefault="006E335A" w:rsidP="00CE7F7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39C241" w14:textId="77777777" w:rsidR="00CE7F7F" w:rsidRPr="00015B24" w:rsidRDefault="00DB406A" w:rsidP="00CE7F7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015B24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11" w:name="2175220282"/>
    </w:p>
    <w:p w14:paraId="04DDFA3A" w14:textId="77777777" w:rsidR="006E335A" w:rsidRPr="00015B24" w:rsidRDefault="001E20D8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_Hlk75182108"/>
      <w:proofErr w:type="spellStart"/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кислота не влияет или оказывает незначительное влияние на способность управлять транспортным средством и потенциально опасными механизмами.</w:t>
      </w:r>
    </w:p>
    <w:p w14:paraId="52D548E7" w14:textId="77777777" w:rsidR="00752A15" w:rsidRPr="00015B24" w:rsidRDefault="00752A15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12"/>
    <w:p w14:paraId="5B5AAAD8" w14:textId="77777777" w:rsidR="009D67EC" w:rsidRPr="00015B24" w:rsidRDefault="009D67EC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11"/>
    </w:p>
    <w:p w14:paraId="40591402" w14:textId="77777777" w:rsidR="00DB073D" w:rsidRPr="00015B24" w:rsidRDefault="00DB073D" w:rsidP="00DB073D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bookmarkStart w:id="13" w:name="_Hlk75182241"/>
      <w:r w:rsidRPr="00015B24">
        <w:rPr>
          <w:rFonts w:ascii="Times New Roman" w:hAnsi="Times New Roman"/>
          <w:bCs/>
          <w:i/>
          <w:iCs/>
          <w:color w:val="000000"/>
          <w:sz w:val="24"/>
          <w:szCs w:val="24"/>
        </w:rPr>
        <w:t>Краткое описание профиля безопасности</w:t>
      </w:r>
    </w:p>
    <w:p w14:paraId="34616E03" w14:textId="77777777" w:rsidR="00DB073D" w:rsidRPr="00015B24" w:rsidRDefault="00DB073D" w:rsidP="00DB073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15B24">
        <w:rPr>
          <w:rFonts w:ascii="Times New Roman" w:hAnsi="Times New Roman"/>
          <w:bCs/>
          <w:color w:val="000000"/>
          <w:sz w:val="24"/>
          <w:szCs w:val="24"/>
        </w:rPr>
        <w:t xml:space="preserve">Наиболее частыми побочными реакциями являлись зуд (63%) и усталость (22%). Наиболее частой побочной реакцией, приведшей к прекращению приема препарата, </w:t>
      </w:r>
      <w:r w:rsidR="004E0462" w:rsidRPr="00015B24">
        <w:rPr>
          <w:rFonts w:ascii="Times New Roman" w:hAnsi="Times New Roman"/>
          <w:bCs/>
          <w:color w:val="000000"/>
          <w:sz w:val="24"/>
          <w:szCs w:val="24"/>
        </w:rPr>
        <w:lastRenderedPageBreak/>
        <w:t>являлся</w:t>
      </w:r>
      <w:r w:rsidRPr="00015B24">
        <w:rPr>
          <w:rFonts w:ascii="Times New Roman" w:hAnsi="Times New Roman"/>
          <w:bCs/>
          <w:color w:val="000000"/>
          <w:sz w:val="24"/>
          <w:szCs w:val="24"/>
        </w:rPr>
        <w:t xml:space="preserve"> зуд. Больш</w:t>
      </w:r>
      <w:r w:rsidR="004E0462" w:rsidRPr="00015B24">
        <w:rPr>
          <w:rFonts w:ascii="Times New Roman" w:hAnsi="Times New Roman"/>
          <w:bCs/>
          <w:color w:val="000000"/>
          <w:sz w:val="24"/>
          <w:szCs w:val="24"/>
        </w:rPr>
        <w:t xml:space="preserve">инство случаев </w:t>
      </w:r>
      <w:r w:rsidRPr="00015B24">
        <w:rPr>
          <w:rFonts w:ascii="Times New Roman" w:hAnsi="Times New Roman"/>
          <w:bCs/>
          <w:color w:val="000000"/>
          <w:sz w:val="24"/>
          <w:szCs w:val="24"/>
        </w:rPr>
        <w:t>зуда возник</w:t>
      </w:r>
      <w:r w:rsidR="004E0462" w:rsidRPr="00015B24">
        <w:rPr>
          <w:rFonts w:ascii="Times New Roman" w:hAnsi="Times New Roman"/>
          <w:bCs/>
          <w:color w:val="000000"/>
          <w:sz w:val="24"/>
          <w:szCs w:val="24"/>
        </w:rPr>
        <w:t>али</w:t>
      </w:r>
      <w:r w:rsidRPr="00015B24">
        <w:rPr>
          <w:rFonts w:ascii="Times New Roman" w:hAnsi="Times New Roman"/>
          <w:bCs/>
          <w:color w:val="000000"/>
          <w:sz w:val="24"/>
          <w:szCs w:val="24"/>
        </w:rPr>
        <w:t xml:space="preserve"> в течение первого месяца лечения и </w:t>
      </w:r>
      <w:r w:rsidR="004E0462" w:rsidRPr="00015B24">
        <w:rPr>
          <w:rFonts w:ascii="Times New Roman" w:hAnsi="Times New Roman"/>
          <w:bCs/>
          <w:color w:val="000000"/>
          <w:sz w:val="24"/>
          <w:szCs w:val="24"/>
        </w:rPr>
        <w:t>в течении времени являлись обратимыми</w:t>
      </w:r>
      <w:r w:rsidRPr="00015B24">
        <w:rPr>
          <w:rFonts w:ascii="Times New Roman" w:hAnsi="Times New Roman"/>
          <w:bCs/>
          <w:color w:val="000000"/>
          <w:sz w:val="24"/>
          <w:szCs w:val="24"/>
        </w:rPr>
        <w:t xml:space="preserve"> при продолжении </w:t>
      </w:r>
      <w:r w:rsidR="004E0462" w:rsidRPr="00015B24">
        <w:rPr>
          <w:rFonts w:ascii="Times New Roman" w:hAnsi="Times New Roman"/>
          <w:bCs/>
          <w:color w:val="000000"/>
          <w:sz w:val="24"/>
          <w:szCs w:val="24"/>
        </w:rPr>
        <w:t>терапии</w:t>
      </w:r>
      <w:r w:rsidRPr="00015B2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8C64867" w14:textId="77777777" w:rsidR="004E0462" w:rsidRPr="00015B24" w:rsidRDefault="004E0462" w:rsidP="004E046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015B24">
        <w:rPr>
          <w:rFonts w:ascii="Times New Roman" w:hAnsi="Times New Roman"/>
          <w:bCs/>
          <w:color w:val="000000"/>
          <w:sz w:val="24"/>
          <w:szCs w:val="24"/>
          <w:u w:val="single"/>
        </w:rPr>
        <w:t>Табличный список побочных реакций</w:t>
      </w:r>
    </w:p>
    <w:p w14:paraId="09D44CB2" w14:textId="77777777" w:rsidR="004E0462" w:rsidRPr="00015B24" w:rsidRDefault="004E0462" w:rsidP="004E046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15B24">
        <w:rPr>
          <w:rFonts w:ascii="Times New Roman" w:hAnsi="Times New Roman"/>
          <w:bCs/>
          <w:color w:val="000000"/>
          <w:sz w:val="24"/>
          <w:szCs w:val="24"/>
        </w:rPr>
        <w:t xml:space="preserve">Побочные реакции, о которых сообщалось при применении </w:t>
      </w:r>
      <w:proofErr w:type="spellStart"/>
      <w:r w:rsidRPr="00015B24">
        <w:rPr>
          <w:rFonts w:ascii="Times New Roman" w:hAnsi="Times New Roman"/>
          <w:bCs/>
          <w:color w:val="000000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bCs/>
          <w:color w:val="000000"/>
          <w:sz w:val="24"/>
          <w:szCs w:val="24"/>
        </w:rPr>
        <w:t xml:space="preserve"> кислоты перечислены в таблице ниже по системно-органной классификации по </w:t>
      </w:r>
      <w:proofErr w:type="spellStart"/>
      <w:r w:rsidRPr="00015B24">
        <w:rPr>
          <w:rFonts w:ascii="Times New Roman" w:hAnsi="Times New Roman"/>
          <w:bCs/>
          <w:color w:val="000000"/>
          <w:sz w:val="24"/>
          <w:szCs w:val="24"/>
        </w:rPr>
        <w:t>MedDRA</w:t>
      </w:r>
      <w:proofErr w:type="spellEnd"/>
      <w:r w:rsidRPr="00015B24">
        <w:rPr>
          <w:rFonts w:ascii="Times New Roman" w:hAnsi="Times New Roman"/>
          <w:bCs/>
          <w:color w:val="000000"/>
          <w:sz w:val="24"/>
          <w:szCs w:val="24"/>
        </w:rPr>
        <w:t xml:space="preserve"> и по частоте. Частоты определяются следующим образом: </w:t>
      </w:r>
      <w:r w:rsidRPr="00015B24">
        <w:rPr>
          <w:rFonts w:ascii="Times New Roman" w:hAnsi="Times New Roman"/>
          <w:bCs/>
          <w:i/>
          <w:iCs/>
          <w:color w:val="000000"/>
          <w:sz w:val="24"/>
          <w:szCs w:val="24"/>
        </w:rPr>
        <w:t>очень часто (≥ 1/10), часто (от ≥ 1/100 до &lt;1/10), нечасто (от ≥ 1/1000 до &lt;1/100), редко (от ≥ 1/10 000 до &lt;1 / 1000), очень редко (&lt;1/10 000) и неизвестно (невозможно оценить по имеющимся данным).</w:t>
      </w:r>
    </w:p>
    <w:p w14:paraId="308F01C3" w14:textId="77777777" w:rsidR="004528E1" w:rsidRPr="00015B24" w:rsidRDefault="004E0462" w:rsidP="007856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5B24"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r w:rsidR="00CA711B" w:rsidRPr="00015B24">
        <w:rPr>
          <w:rFonts w:ascii="Times New Roman" w:hAnsi="Times New Roman"/>
          <w:b/>
          <w:bCs/>
          <w:sz w:val="24"/>
          <w:szCs w:val="24"/>
        </w:rPr>
        <w:t>1</w:t>
      </w:r>
      <w:r w:rsidRPr="00015B24">
        <w:rPr>
          <w:rFonts w:ascii="Times New Roman" w:hAnsi="Times New Roman"/>
          <w:b/>
          <w:bCs/>
          <w:sz w:val="24"/>
          <w:szCs w:val="24"/>
        </w:rPr>
        <w:t>. Частота побочных реакций у пациентов с ПБЦ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1835"/>
        <w:gridCol w:w="2989"/>
        <w:gridCol w:w="1986"/>
      </w:tblGrid>
      <w:tr w:rsidR="00CA711B" w:rsidRPr="00015B24" w14:paraId="0D536C78" w14:textId="77777777" w:rsidTr="00CA711B">
        <w:tc>
          <w:tcPr>
            <w:tcW w:w="2480" w:type="dxa"/>
            <w:shd w:val="clear" w:color="auto" w:fill="auto"/>
          </w:tcPr>
          <w:p w14:paraId="7943590C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Системно-органная классификация</w:t>
            </w:r>
          </w:p>
        </w:tc>
        <w:tc>
          <w:tcPr>
            <w:tcW w:w="1838" w:type="dxa"/>
            <w:shd w:val="clear" w:color="auto" w:fill="auto"/>
          </w:tcPr>
          <w:p w14:paraId="27BC1EF1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</w:rPr>
              <w:t>Очень часто</w:t>
            </w:r>
          </w:p>
        </w:tc>
        <w:tc>
          <w:tcPr>
            <w:tcW w:w="2995" w:type="dxa"/>
            <w:shd w:val="clear" w:color="auto" w:fill="auto"/>
          </w:tcPr>
          <w:p w14:paraId="76FBC782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</w:rPr>
              <w:t>Часто</w:t>
            </w:r>
          </w:p>
        </w:tc>
        <w:tc>
          <w:tcPr>
            <w:tcW w:w="1974" w:type="dxa"/>
          </w:tcPr>
          <w:p w14:paraId="3421BCC4" w14:textId="77777777" w:rsidR="00CA711B" w:rsidRPr="00015B24" w:rsidRDefault="00243A1B" w:rsidP="00D73C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</w:rPr>
              <w:t>Неизвестно</w:t>
            </w:r>
          </w:p>
        </w:tc>
      </w:tr>
      <w:tr w:rsidR="00CA711B" w:rsidRPr="00015B24" w14:paraId="7ED67ADF" w14:textId="77777777" w:rsidTr="00CA711B">
        <w:tc>
          <w:tcPr>
            <w:tcW w:w="2480" w:type="dxa"/>
            <w:shd w:val="clear" w:color="auto" w:fill="auto"/>
          </w:tcPr>
          <w:p w14:paraId="5474F316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Эндокринные нарушения</w:t>
            </w:r>
          </w:p>
        </w:tc>
        <w:tc>
          <w:tcPr>
            <w:tcW w:w="1838" w:type="dxa"/>
            <w:shd w:val="clear" w:color="auto" w:fill="auto"/>
          </w:tcPr>
          <w:p w14:paraId="259E7560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4B09AA4F" w14:textId="77777777" w:rsidR="00CA711B" w:rsidRPr="00015B24" w:rsidRDefault="00CA711B" w:rsidP="00D73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Нарушение функции щитовидной железы</w:t>
            </w:r>
          </w:p>
        </w:tc>
        <w:tc>
          <w:tcPr>
            <w:tcW w:w="1974" w:type="dxa"/>
          </w:tcPr>
          <w:p w14:paraId="4CD768A6" w14:textId="77777777" w:rsidR="00CA711B" w:rsidRPr="00015B24" w:rsidRDefault="00CA711B" w:rsidP="00D73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11B" w:rsidRPr="00015B24" w14:paraId="40389389" w14:textId="77777777" w:rsidTr="00CA711B">
        <w:tc>
          <w:tcPr>
            <w:tcW w:w="2480" w:type="dxa"/>
            <w:shd w:val="clear" w:color="auto" w:fill="auto"/>
          </w:tcPr>
          <w:p w14:paraId="0534C3A9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Нарушения со стороны нервной системы</w:t>
            </w:r>
          </w:p>
        </w:tc>
        <w:tc>
          <w:tcPr>
            <w:tcW w:w="1838" w:type="dxa"/>
            <w:shd w:val="clear" w:color="auto" w:fill="auto"/>
          </w:tcPr>
          <w:p w14:paraId="5442ED9B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26A22A87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Головокружение</w:t>
            </w:r>
          </w:p>
        </w:tc>
        <w:tc>
          <w:tcPr>
            <w:tcW w:w="1974" w:type="dxa"/>
          </w:tcPr>
          <w:p w14:paraId="36464101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11B" w:rsidRPr="00015B24" w14:paraId="7707F736" w14:textId="77777777" w:rsidTr="00CA711B">
        <w:tc>
          <w:tcPr>
            <w:tcW w:w="2480" w:type="dxa"/>
            <w:shd w:val="clear" w:color="auto" w:fill="auto"/>
          </w:tcPr>
          <w:p w14:paraId="5580D63F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Нарушения со стороны сердечно-сосудистой системы</w:t>
            </w:r>
          </w:p>
        </w:tc>
        <w:tc>
          <w:tcPr>
            <w:tcW w:w="1838" w:type="dxa"/>
            <w:shd w:val="clear" w:color="auto" w:fill="auto"/>
          </w:tcPr>
          <w:p w14:paraId="4AA802CE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2A808376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Сердцебиение</w:t>
            </w:r>
          </w:p>
        </w:tc>
        <w:tc>
          <w:tcPr>
            <w:tcW w:w="1974" w:type="dxa"/>
          </w:tcPr>
          <w:p w14:paraId="1F400B8E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11B" w:rsidRPr="00015B24" w14:paraId="33144760" w14:textId="77777777" w:rsidTr="00CA711B">
        <w:tc>
          <w:tcPr>
            <w:tcW w:w="2480" w:type="dxa"/>
            <w:shd w:val="clear" w:color="auto" w:fill="auto"/>
          </w:tcPr>
          <w:p w14:paraId="07A3CE67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Нарушения со стороны дыхательной системы</w:t>
            </w:r>
          </w:p>
        </w:tc>
        <w:tc>
          <w:tcPr>
            <w:tcW w:w="1838" w:type="dxa"/>
            <w:shd w:val="clear" w:color="auto" w:fill="auto"/>
          </w:tcPr>
          <w:p w14:paraId="3231FB98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428DB635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5B24">
              <w:rPr>
                <w:rFonts w:ascii="Times New Roman" w:hAnsi="Times New Roman"/>
                <w:sz w:val="24"/>
                <w:szCs w:val="24"/>
              </w:rPr>
              <w:t>Орофарингеальная</w:t>
            </w:r>
            <w:proofErr w:type="spellEnd"/>
            <w:r w:rsidRPr="00015B24">
              <w:rPr>
                <w:rFonts w:ascii="Times New Roman" w:hAnsi="Times New Roman"/>
                <w:sz w:val="24"/>
                <w:szCs w:val="24"/>
              </w:rPr>
              <w:t xml:space="preserve"> боль</w:t>
            </w:r>
          </w:p>
        </w:tc>
        <w:tc>
          <w:tcPr>
            <w:tcW w:w="1974" w:type="dxa"/>
          </w:tcPr>
          <w:p w14:paraId="5193EDBD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11B" w:rsidRPr="00015B24" w14:paraId="5926D52A" w14:textId="77777777" w:rsidTr="00CA711B">
        <w:tc>
          <w:tcPr>
            <w:tcW w:w="2480" w:type="dxa"/>
            <w:shd w:val="clear" w:color="auto" w:fill="auto"/>
          </w:tcPr>
          <w:p w14:paraId="2C02EDF1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Нарушения со стороны желудочно-кишечного тракта</w:t>
            </w:r>
          </w:p>
        </w:tc>
        <w:tc>
          <w:tcPr>
            <w:tcW w:w="1838" w:type="dxa"/>
            <w:shd w:val="clear" w:color="auto" w:fill="auto"/>
          </w:tcPr>
          <w:p w14:paraId="076EF5A5" w14:textId="77777777" w:rsidR="00CA711B" w:rsidRPr="00015B24" w:rsidRDefault="00CA711B" w:rsidP="00D73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Боль в животе и дискомфорт</w:t>
            </w:r>
          </w:p>
        </w:tc>
        <w:tc>
          <w:tcPr>
            <w:tcW w:w="2995" w:type="dxa"/>
            <w:shd w:val="clear" w:color="auto" w:fill="auto"/>
          </w:tcPr>
          <w:p w14:paraId="46D26C2B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Запор</w:t>
            </w:r>
          </w:p>
        </w:tc>
        <w:tc>
          <w:tcPr>
            <w:tcW w:w="1974" w:type="dxa"/>
          </w:tcPr>
          <w:p w14:paraId="118C946D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11B" w:rsidRPr="00015B24" w14:paraId="25EFFD7E" w14:textId="77777777" w:rsidTr="00CA711B">
        <w:tc>
          <w:tcPr>
            <w:tcW w:w="2480" w:type="dxa"/>
            <w:shd w:val="clear" w:color="auto" w:fill="auto"/>
          </w:tcPr>
          <w:p w14:paraId="41CC959B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Нарушения со стороны печени</w:t>
            </w:r>
          </w:p>
        </w:tc>
        <w:tc>
          <w:tcPr>
            <w:tcW w:w="1838" w:type="dxa"/>
            <w:shd w:val="clear" w:color="auto" w:fill="auto"/>
          </w:tcPr>
          <w:p w14:paraId="609443FB" w14:textId="77777777" w:rsidR="00CA711B" w:rsidRPr="00015B24" w:rsidRDefault="00CA711B" w:rsidP="00D73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3300EADF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453F3C10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Печеночная недостаточность, увеличение в крови билирубина, желтуха, цирроз печени</w:t>
            </w:r>
          </w:p>
        </w:tc>
      </w:tr>
      <w:tr w:rsidR="00CA711B" w:rsidRPr="00015B24" w14:paraId="279A7597" w14:textId="77777777" w:rsidTr="00CA711B">
        <w:tc>
          <w:tcPr>
            <w:tcW w:w="2480" w:type="dxa"/>
            <w:shd w:val="clear" w:color="auto" w:fill="auto"/>
          </w:tcPr>
          <w:p w14:paraId="02DC8FC9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Нарушения со стороны кожных покровов</w:t>
            </w:r>
          </w:p>
        </w:tc>
        <w:tc>
          <w:tcPr>
            <w:tcW w:w="1838" w:type="dxa"/>
            <w:shd w:val="clear" w:color="auto" w:fill="auto"/>
          </w:tcPr>
          <w:p w14:paraId="6284D0A8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Зуд</w:t>
            </w:r>
          </w:p>
        </w:tc>
        <w:tc>
          <w:tcPr>
            <w:tcW w:w="2995" w:type="dxa"/>
            <w:shd w:val="clear" w:color="auto" w:fill="auto"/>
          </w:tcPr>
          <w:p w14:paraId="1C45B78B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Экзема, сыпь</w:t>
            </w:r>
          </w:p>
        </w:tc>
        <w:tc>
          <w:tcPr>
            <w:tcW w:w="1974" w:type="dxa"/>
          </w:tcPr>
          <w:p w14:paraId="399F194D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11B" w:rsidRPr="00015B24" w14:paraId="18D62460" w14:textId="77777777" w:rsidTr="00CA711B">
        <w:tc>
          <w:tcPr>
            <w:tcW w:w="2480" w:type="dxa"/>
            <w:shd w:val="clear" w:color="auto" w:fill="auto"/>
          </w:tcPr>
          <w:p w14:paraId="6B9DFACB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Нарушения со стороны костно-мышечной системы</w:t>
            </w:r>
          </w:p>
        </w:tc>
        <w:tc>
          <w:tcPr>
            <w:tcW w:w="1838" w:type="dxa"/>
            <w:shd w:val="clear" w:color="auto" w:fill="auto"/>
          </w:tcPr>
          <w:p w14:paraId="26AB2EE4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10329F19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Артралгия</w:t>
            </w:r>
          </w:p>
        </w:tc>
        <w:tc>
          <w:tcPr>
            <w:tcW w:w="1974" w:type="dxa"/>
          </w:tcPr>
          <w:p w14:paraId="010E3364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11B" w:rsidRPr="00015B24" w14:paraId="1916BA8C" w14:textId="77777777" w:rsidTr="00CA711B">
        <w:tc>
          <w:tcPr>
            <w:tcW w:w="2480" w:type="dxa"/>
            <w:shd w:val="clear" w:color="auto" w:fill="auto"/>
          </w:tcPr>
          <w:p w14:paraId="6A3E2E52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Общие нарушения и состояния в месте введения</w:t>
            </w:r>
          </w:p>
        </w:tc>
        <w:tc>
          <w:tcPr>
            <w:tcW w:w="1838" w:type="dxa"/>
            <w:shd w:val="clear" w:color="auto" w:fill="auto"/>
          </w:tcPr>
          <w:p w14:paraId="6E83F503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>Усталость</w:t>
            </w:r>
          </w:p>
        </w:tc>
        <w:tc>
          <w:tcPr>
            <w:tcW w:w="2995" w:type="dxa"/>
            <w:shd w:val="clear" w:color="auto" w:fill="auto"/>
          </w:tcPr>
          <w:p w14:paraId="575B67EE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B24">
              <w:rPr>
                <w:rFonts w:ascii="Times New Roman" w:hAnsi="Times New Roman"/>
                <w:sz w:val="24"/>
                <w:szCs w:val="24"/>
              </w:rPr>
              <w:t xml:space="preserve">Периферический отек, </w:t>
            </w:r>
            <w:proofErr w:type="spellStart"/>
            <w:r w:rsidRPr="00015B24">
              <w:rPr>
                <w:rFonts w:ascii="Times New Roman" w:hAnsi="Times New Roman"/>
                <w:sz w:val="24"/>
                <w:szCs w:val="24"/>
              </w:rPr>
              <w:t>пирексия</w:t>
            </w:r>
            <w:proofErr w:type="spellEnd"/>
          </w:p>
        </w:tc>
        <w:tc>
          <w:tcPr>
            <w:tcW w:w="1974" w:type="dxa"/>
          </w:tcPr>
          <w:p w14:paraId="68AEE868" w14:textId="77777777" w:rsidR="00CA711B" w:rsidRPr="00015B24" w:rsidRDefault="00CA711B" w:rsidP="00D73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FF3B65" w14:textId="77777777" w:rsidR="00BF1295" w:rsidRPr="00015B24" w:rsidRDefault="00BF1295" w:rsidP="00BF129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15B24">
        <w:rPr>
          <w:rFonts w:ascii="Times New Roman" w:hAnsi="Times New Roman"/>
          <w:i/>
          <w:iCs/>
          <w:sz w:val="24"/>
          <w:szCs w:val="24"/>
        </w:rPr>
        <w:t>Описание избранных побочных реакций</w:t>
      </w:r>
    </w:p>
    <w:p w14:paraId="35963D73" w14:textId="77777777" w:rsidR="006E335A" w:rsidRPr="00015B24" w:rsidRDefault="006E335A" w:rsidP="00BF129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15B24">
        <w:rPr>
          <w:rFonts w:ascii="Times New Roman" w:hAnsi="Times New Roman"/>
          <w:i/>
          <w:iCs/>
          <w:sz w:val="24"/>
          <w:szCs w:val="24"/>
        </w:rPr>
        <w:t>Отмена приема препарата</w:t>
      </w:r>
    </w:p>
    <w:p w14:paraId="5FC0419D" w14:textId="77777777" w:rsidR="006E335A" w:rsidRPr="00015B24" w:rsidRDefault="006E335A" w:rsidP="00BF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 xml:space="preserve">Побочные реакции, приводящие к прекращению лечения, составили 1% (зуд) в группе титрования </w:t>
      </w:r>
      <w:proofErr w:type="spellStart"/>
      <w:r w:rsidRPr="00015B24">
        <w:rPr>
          <w:rFonts w:ascii="Times New Roman" w:hAnsi="Times New Roman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кислоты и 11% (зуд и усталость) в группе</w:t>
      </w:r>
      <w:r w:rsidR="00021929" w:rsidRPr="00015B24">
        <w:rPr>
          <w:rFonts w:ascii="Times New Roman" w:hAnsi="Times New Roman"/>
          <w:sz w:val="24"/>
          <w:szCs w:val="24"/>
        </w:rPr>
        <w:t xml:space="preserve"> приема</w:t>
      </w:r>
      <w:r w:rsidRPr="00015B24">
        <w:rPr>
          <w:rFonts w:ascii="Times New Roman" w:hAnsi="Times New Roman"/>
          <w:sz w:val="24"/>
          <w:szCs w:val="24"/>
        </w:rPr>
        <w:t xml:space="preserve"> 10 мг </w:t>
      </w:r>
      <w:proofErr w:type="spellStart"/>
      <w:r w:rsidRPr="00015B24">
        <w:rPr>
          <w:rFonts w:ascii="Times New Roman" w:hAnsi="Times New Roman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кислоты.</w:t>
      </w:r>
    </w:p>
    <w:p w14:paraId="6DA1FFE5" w14:textId="77777777" w:rsidR="00BF1295" w:rsidRPr="00015B24" w:rsidRDefault="00BF1295" w:rsidP="00BF129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15B24">
        <w:rPr>
          <w:rFonts w:ascii="Times New Roman" w:hAnsi="Times New Roman"/>
          <w:i/>
          <w:iCs/>
          <w:sz w:val="24"/>
          <w:szCs w:val="24"/>
        </w:rPr>
        <w:t>Зуд</w:t>
      </w:r>
    </w:p>
    <w:p w14:paraId="7AE2E88D" w14:textId="77777777" w:rsidR="00660DDD" w:rsidRPr="00015B24" w:rsidRDefault="00BF1295" w:rsidP="00BF1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 xml:space="preserve">Приблизительно 60% пациентов имели в анамнезе зуд при включении в исследование III фазы. Зуд, вызванный лечением, обычно </w:t>
      </w:r>
      <w:r w:rsidR="00B27055" w:rsidRPr="00015B24">
        <w:rPr>
          <w:rFonts w:ascii="Times New Roman" w:hAnsi="Times New Roman"/>
          <w:sz w:val="24"/>
          <w:szCs w:val="24"/>
        </w:rPr>
        <w:t>возникает</w:t>
      </w:r>
      <w:r w:rsidRPr="00015B24">
        <w:rPr>
          <w:rFonts w:ascii="Times New Roman" w:hAnsi="Times New Roman"/>
          <w:sz w:val="24"/>
          <w:szCs w:val="24"/>
        </w:rPr>
        <w:t xml:space="preserve"> в течение первого месяца после начала лечения.</w:t>
      </w:r>
    </w:p>
    <w:p w14:paraId="6E006CDF" w14:textId="77777777" w:rsidR="00660DDD" w:rsidRPr="00015B24" w:rsidRDefault="00B27055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 xml:space="preserve">По сравнению с пациентами, начавшие прием с 10 мг один раз в сутки в группе </w:t>
      </w:r>
      <w:proofErr w:type="spellStart"/>
      <w:r w:rsidRPr="00015B24">
        <w:rPr>
          <w:rFonts w:ascii="Times New Roman" w:hAnsi="Times New Roman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кислоты 10 мг, пациенты в группе титрования </w:t>
      </w:r>
      <w:proofErr w:type="spellStart"/>
      <w:r w:rsidRPr="00015B24">
        <w:rPr>
          <w:rFonts w:ascii="Times New Roman" w:hAnsi="Times New Roman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кислоты </w:t>
      </w:r>
      <w:r w:rsidRPr="00015B24">
        <w:rPr>
          <w:rFonts w:ascii="Times New Roman" w:hAnsi="Times New Roman"/>
          <w:sz w:val="24"/>
          <w:szCs w:val="24"/>
        </w:rPr>
        <w:lastRenderedPageBreak/>
        <w:t>имели более низкую частоту возникновения зуда (70% и 56% соответственно) и более низкий процент отмены приема связанных с зудом (10% и 1% соответственно).</w:t>
      </w:r>
    </w:p>
    <w:p w14:paraId="215D8666" w14:textId="77777777" w:rsidR="00B27055" w:rsidRPr="00015B24" w:rsidRDefault="00B27055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 xml:space="preserve">Процент пациентов, которым потребовалось вмешательство (например, коррекция дозы, прерывание лечения или введение антигистаминных препаратов или связывающих желчные кислоты смол), составил 41% в группе </w:t>
      </w:r>
      <w:proofErr w:type="spellStart"/>
      <w:r w:rsidRPr="00015B24">
        <w:rPr>
          <w:rFonts w:ascii="Times New Roman" w:hAnsi="Times New Roman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кислоты 10 мг, 34% в группе титрования </w:t>
      </w:r>
      <w:proofErr w:type="spellStart"/>
      <w:r w:rsidRPr="00015B24">
        <w:rPr>
          <w:rFonts w:ascii="Times New Roman" w:hAnsi="Times New Roman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</w:rPr>
        <w:t xml:space="preserve"> кислоты и 19% в группе плацебо.</w:t>
      </w:r>
    </w:p>
    <w:bookmarkEnd w:id="13"/>
    <w:p w14:paraId="1BF9B360" w14:textId="77777777" w:rsidR="00B27055" w:rsidRPr="00015B24" w:rsidRDefault="00B27055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325D1" w14:textId="77777777" w:rsidR="00814DFC" w:rsidRPr="00015B24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5B24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57AEA8C1" w14:textId="77777777" w:rsidR="004528E1" w:rsidRPr="00015B24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015B24">
        <w:rPr>
          <w:rFonts w:ascii="Times New Roman" w:hAnsi="Times New Roman"/>
          <w:sz w:val="24"/>
          <w:szCs w:val="24"/>
        </w:rPr>
        <w:t>ЛП</w:t>
      </w:r>
      <w:r w:rsidRPr="00015B24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015B24">
        <w:rPr>
          <w:rFonts w:ascii="Times New Roman" w:hAnsi="Times New Roman"/>
          <w:sz w:val="24"/>
          <w:szCs w:val="24"/>
        </w:rPr>
        <w:t>ЛП</w:t>
      </w:r>
      <w:r w:rsidRPr="00015B24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015B24">
        <w:rPr>
          <w:rFonts w:ascii="Times New Roman" w:hAnsi="Times New Roman"/>
          <w:sz w:val="24"/>
          <w:szCs w:val="24"/>
        </w:rPr>
        <w:t>ЛП</w:t>
      </w:r>
      <w:r w:rsidRPr="00015B24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015B24">
        <w:rPr>
          <w:rFonts w:ascii="Times New Roman" w:hAnsi="Times New Roman"/>
          <w:sz w:val="24"/>
          <w:szCs w:val="24"/>
        </w:rPr>
        <w:t xml:space="preserve"> </w:t>
      </w:r>
    </w:p>
    <w:p w14:paraId="628CC82E" w14:textId="77777777" w:rsidR="00AC3900" w:rsidRPr="00015B24" w:rsidRDefault="00AC3900" w:rsidP="00AC3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4" w:name="_Hlk75182258"/>
      <w:r w:rsidRPr="00015B24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 средств и медицинских изделий» Комитет</w:t>
      </w:r>
      <w:r w:rsidR="00015B24" w:rsidRPr="00015B24">
        <w:rPr>
          <w:rFonts w:ascii="Times New Roman" w:hAnsi="Times New Roman"/>
          <w:sz w:val="24"/>
          <w:szCs w:val="24"/>
        </w:rPr>
        <w:t>а</w:t>
      </w:r>
      <w:r w:rsidRPr="00015B24">
        <w:rPr>
          <w:rFonts w:ascii="Times New Roman" w:hAnsi="Times New Roman"/>
          <w:sz w:val="24"/>
          <w:szCs w:val="24"/>
        </w:rPr>
        <w:t xml:space="preserve"> медицинского и фармацевтического контроля Министерства здравоохранения Республики Казахстан</w:t>
      </w:r>
    </w:p>
    <w:bookmarkEnd w:id="14"/>
    <w:p w14:paraId="4DE88545" w14:textId="77777777" w:rsidR="00814DFC" w:rsidRPr="00015B24" w:rsidRDefault="00AC3900" w:rsidP="00AC3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>http://www.ndda.kz</w:t>
      </w:r>
    </w:p>
    <w:p w14:paraId="6C4D8BDE" w14:textId="77777777" w:rsidR="009D67EC" w:rsidRPr="00015B24" w:rsidRDefault="009D67EC" w:rsidP="0078568D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FBC1C0" w14:textId="77777777" w:rsidR="00123DB5" w:rsidRPr="00015B24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5644D790" w14:textId="77777777" w:rsidR="00E833DB" w:rsidRPr="00015B24" w:rsidRDefault="00E833DB" w:rsidP="00E8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5" w:name="_Hlk75182199"/>
      <w:r w:rsidRPr="00015B24">
        <w:rPr>
          <w:rFonts w:ascii="Times New Roman" w:hAnsi="Times New Roman"/>
          <w:color w:val="000000"/>
          <w:sz w:val="24"/>
          <w:szCs w:val="24"/>
        </w:rPr>
        <w:t xml:space="preserve">Самая максимальная разовая доза </w:t>
      </w:r>
      <w:proofErr w:type="spellStart"/>
      <w:r w:rsidRPr="00015B24">
        <w:rPr>
          <w:rFonts w:ascii="Times New Roman" w:hAnsi="Times New Roman"/>
          <w:color w:val="000000"/>
          <w:sz w:val="24"/>
          <w:szCs w:val="24"/>
        </w:rPr>
        <w:t>обетихолевой</w:t>
      </w:r>
      <w:proofErr w:type="spellEnd"/>
      <w:r w:rsidRPr="00015B24">
        <w:rPr>
          <w:rFonts w:ascii="Times New Roman" w:hAnsi="Times New Roman"/>
          <w:color w:val="000000"/>
          <w:sz w:val="24"/>
          <w:szCs w:val="24"/>
        </w:rPr>
        <w:t xml:space="preserve"> кислоты у здоровых добровольцев составляла 500 мг. Повторные дозы 250 мг вводились в течение 12 дней подряд, и у некоторых субъектов наблюдался зуд и обратимое повышение уровня трансаминаз в печени. У пациентов с ПБ</w:t>
      </w:r>
      <w:r w:rsidR="000D423C" w:rsidRPr="00015B24">
        <w:rPr>
          <w:rFonts w:ascii="Times New Roman" w:hAnsi="Times New Roman"/>
          <w:color w:val="000000"/>
          <w:sz w:val="24"/>
          <w:szCs w:val="24"/>
        </w:rPr>
        <w:t>Ц</w:t>
      </w:r>
      <w:r w:rsidRPr="00015B24">
        <w:rPr>
          <w:rFonts w:ascii="Times New Roman" w:hAnsi="Times New Roman"/>
          <w:color w:val="000000"/>
          <w:sz w:val="24"/>
          <w:szCs w:val="24"/>
        </w:rPr>
        <w:t xml:space="preserve">, получавших </w:t>
      </w:r>
      <w:proofErr w:type="spellStart"/>
      <w:r w:rsidRPr="00015B24">
        <w:rPr>
          <w:rFonts w:ascii="Times New Roman" w:hAnsi="Times New Roman"/>
          <w:color w:val="000000"/>
          <w:sz w:val="24"/>
          <w:szCs w:val="24"/>
        </w:rPr>
        <w:t>обетихолевую</w:t>
      </w:r>
      <w:proofErr w:type="spellEnd"/>
      <w:r w:rsidRPr="00015B24">
        <w:rPr>
          <w:rFonts w:ascii="Times New Roman" w:hAnsi="Times New Roman"/>
          <w:color w:val="000000"/>
          <w:sz w:val="24"/>
          <w:szCs w:val="24"/>
        </w:rPr>
        <w:t xml:space="preserve"> кислоту 25 мг один раз в сутки (в 2,5 раза превышающую рекомендуемую) или 50 мг один раз в сутки (в 5 раз превышающую рекомендуемую дозу)</w:t>
      </w:r>
      <w:r w:rsidR="005E6FCB" w:rsidRPr="00015B24">
        <w:rPr>
          <w:rFonts w:ascii="Times New Roman" w:hAnsi="Times New Roman"/>
          <w:color w:val="000000"/>
          <w:sz w:val="24"/>
          <w:szCs w:val="24"/>
        </w:rPr>
        <w:t xml:space="preserve"> наблюдалось</w:t>
      </w:r>
      <w:r w:rsidRPr="00015B2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5B24">
        <w:rPr>
          <w:rFonts w:ascii="Times New Roman" w:hAnsi="Times New Roman"/>
          <w:color w:val="000000"/>
          <w:sz w:val="24"/>
          <w:szCs w:val="24"/>
        </w:rPr>
        <w:t>дозозависимое</w:t>
      </w:r>
      <w:proofErr w:type="spellEnd"/>
      <w:r w:rsidRPr="00015B24">
        <w:rPr>
          <w:rFonts w:ascii="Times New Roman" w:hAnsi="Times New Roman"/>
          <w:color w:val="000000"/>
          <w:sz w:val="24"/>
          <w:szCs w:val="24"/>
        </w:rPr>
        <w:t xml:space="preserve"> увеличение частоты нежелательных реакций со стороны печени (например, асцита), обострение первичного </w:t>
      </w:r>
      <w:proofErr w:type="spellStart"/>
      <w:r w:rsidRPr="00015B24">
        <w:rPr>
          <w:rFonts w:ascii="Times New Roman" w:hAnsi="Times New Roman"/>
          <w:color w:val="000000"/>
          <w:sz w:val="24"/>
          <w:szCs w:val="24"/>
        </w:rPr>
        <w:t>билиарного</w:t>
      </w:r>
      <w:proofErr w:type="spellEnd"/>
      <w:r w:rsidRPr="00015B24">
        <w:rPr>
          <w:rFonts w:ascii="Times New Roman" w:hAnsi="Times New Roman"/>
          <w:color w:val="000000"/>
          <w:sz w:val="24"/>
          <w:szCs w:val="24"/>
        </w:rPr>
        <w:t xml:space="preserve"> холангита, впервые возникшая желтуха), а также повышение уровня трансаминаз и билирубина (</w:t>
      </w:r>
      <w:r w:rsidR="005E6FCB" w:rsidRPr="00015B24">
        <w:rPr>
          <w:rFonts w:ascii="Times New Roman" w:hAnsi="Times New Roman"/>
          <w:color w:val="000000"/>
          <w:sz w:val="24"/>
          <w:szCs w:val="24"/>
        </w:rPr>
        <w:t>в 3 раза превышающие верхнюю границу нормы</w:t>
      </w:r>
      <w:r w:rsidRPr="00015B24">
        <w:rPr>
          <w:rFonts w:ascii="Times New Roman" w:hAnsi="Times New Roman"/>
          <w:color w:val="000000"/>
          <w:sz w:val="24"/>
          <w:szCs w:val="24"/>
        </w:rPr>
        <w:t xml:space="preserve">). В случае передозировки </w:t>
      </w:r>
      <w:r w:rsidR="005E6FCB" w:rsidRPr="00015B24">
        <w:rPr>
          <w:rFonts w:ascii="Times New Roman" w:hAnsi="Times New Roman"/>
          <w:color w:val="000000"/>
          <w:sz w:val="24"/>
          <w:szCs w:val="24"/>
        </w:rPr>
        <w:t>необходим тщательный мониторинг</w:t>
      </w:r>
      <w:r w:rsidRPr="00015B24">
        <w:rPr>
          <w:rFonts w:ascii="Times New Roman" w:hAnsi="Times New Roman"/>
          <w:color w:val="000000"/>
          <w:sz w:val="24"/>
          <w:szCs w:val="24"/>
        </w:rPr>
        <w:t xml:space="preserve"> и при необходимости назнач</w:t>
      </w:r>
      <w:r w:rsidR="00711CC0" w:rsidRPr="00015B24">
        <w:rPr>
          <w:rFonts w:ascii="Times New Roman" w:hAnsi="Times New Roman"/>
          <w:color w:val="000000"/>
          <w:sz w:val="24"/>
          <w:szCs w:val="24"/>
        </w:rPr>
        <w:t>и</w:t>
      </w:r>
      <w:r w:rsidRPr="00015B24">
        <w:rPr>
          <w:rFonts w:ascii="Times New Roman" w:hAnsi="Times New Roman"/>
          <w:color w:val="000000"/>
          <w:sz w:val="24"/>
          <w:szCs w:val="24"/>
        </w:rPr>
        <w:t xml:space="preserve">ть поддерживающую терапию. </w:t>
      </w:r>
    </w:p>
    <w:bookmarkEnd w:id="15"/>
    <w:p w14:paraId="2A0E900C" w14:textId="77777777" w:rsidR="007F55EB" w:rsidRPr="00015B24" w:rsidRDefault="007F55EB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0BB8E2F2" w14:textId="77777777" w:rsidR="00C153F2" w:rsidRPr="00015B24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4EE7156F" w14:textId="77777777" w:rsidR="00C153F2" w:rsidRPr="00015B24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122E3405" w14:textId="77777777" w:rsidR="00AC3900" w:rsidRPr="00015B24" w:rsidRDefault="00C153F2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Фармакотерапевтическая группа:</w:t>
      </w:r>
      <w:r w:rsidR="00C739EB"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015B24" w:rsidRPr="00015B24">
        <w:rPr>
          <w:rFonts w:ascii="Times New Roman" w:eastAsia="TimesNewRomanPSMT" w:hAnsi="Times New Roman"/>
          <w:sz w:val="24"/>
          <w:szCs w:val="24"/>
          <w:lang w:eastAsia="ru-RU"/>
        </w:rPr>
        <w:t>П</w:t>
      </w:r>
      <w:r w:rsidR="00AC3900"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репараты для лечения заболеваний печени и желчевыводящих путей. Препараты для лечения заболеваний желчевыводящих путей. Желчные кислоты и производные. </w:t>
      </w:r>
      <w:proofErr w:type="spellStart"/>
      <w:r w:rsidR="00AC3900" w:rsidRPr="00015B24">
        <w:rPr>
          <w:rFonts w:ascii="Times New Roman" w:eastAsia="TimesNewRomanPSMT" w:hAnsi="Times New Roman"/>
          <w:sz w:val="24"/>
          <w:szCs w:val="24"/>
          <w:lang w:eastAsia="ru-RU"/>
        </w:rPr>
        <w:t>Обетихолевая</w:t>
      </w:r>
      <w:proofErr w:type="spellEnd"/>
      <w:r w:rsidR="00AC3900"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 кислота.</w:t>
      </w:r>
    </w:p>
    <w:p w14:paraId="118E5E7D" w14:textId="77777777" w:rsidR="00C153F2" w:rsidRPr="00015B24" w:rsidRDefault="00957BAF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Код ATХ</w:t>
      </w:r>
      <w:r w:rsidR="008B715E"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5C27DA" w:rsidRPr="00015B24">
        <w:rPr>
          <w:rFonts w:ascii="Times New Roman" w:eastAsia="TimesNewRomanPSMT" w:hAnsi="Times New Roman"/>
          <w:sz w:val="24"/>
          <w:szCs w:val="24"/>
          <w:lang w:eastAsia="ru-RU"/>
        </w:rPr>
        <w:t>A05AA04</w:t>
      </w:r>
    </w:p>
    <w:p w14:paraId="1DCB9D81" w14:textId="77777777" w:rsidR="00C153F2" w:rsidRPr="00015B24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>Механизм действия</w:t>
      </w:r>
      <w:r w:rsidR="00986783" w:rsidRPr="00015B2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27662B44" w14:textId="77777777" w:rsidR="008532F1" w:rsidRPr="00015B24" w:rsidRDefault="008532F1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кислота является селективным и мощным агонистом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фарнезоидного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X-рецептора (FXR), ядерного рецептора,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экспрессирующегося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на высоких уровнях в печени и кишечнике. Считается, что FXR является ключевым регулятором желчных кислот, воспалительных, фиброзных и метаболических путей. Активация FXR снижает внутриклеточные концентрации желчных кислот в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гепатоцитах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за счет подавления синтеза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de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novo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холестерина, а также за счет увеличения транспорта желчных кислот из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гепатоцитов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. Эти механизмы ограничивают общий размер пула циркулирующих желчных кислот, одновременно способствуя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холерезу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>, тем самым снижая воздействие желчных кислот на печень.</w:t>
      </w:r>
    </w:p>
    <w:p w14:paraId="15969B89" w14:textId="77777777" w:rsidR="00C153F2" w:rsidRPr="00015B24" w:rsidRDefault="0098678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>Фармакодинамические эффекты</w:t>
      </w:r>
    </w:p>
    <w:p w14:paraId="4DD9835A" w14:textId="77777777" w:rsidR="008532F1" w:rsidRPr="00015B24" w:rsidRDefault="008532F1" w:rsidP="008532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>Клиническая эффективность и безопасность</w:t>
      </w:r>
    </w:p>
    <w:p w14:paraId="2C90F075" w14:textId="77777777" w:rsidR="008532F1" w:rsidRPr="00015B24" w:rsidRDefault="008532F1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lang w:eastAsia="ru-RU"/>
        </w:rPr>
        <w:t xml:space="preserve">В рандомизированном двойном слепом плацебо-контролируемом 12-месячном исследовании фазы III в параллельных группах (POISE) оценивалась безопасность и эффективность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у 216 пациентов с ПБЦ, принимавшие УДХК не </w:t>
      </w:r>
      <w:r w:rsidRPr="00015B2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менее 12 месяцев (стабильная доза для ≥ 3 месяцев) или с непереносимостью УДХК и не принимавшие УДХК в течение ≥ 3 месяцев. Пациенты включались в испытание, если щелочная фосфатаза (ЩФ) была больше или равна 1,67-кратной верхней границы нормы (ВГН) и/или если общий билирубин составлял больше 1-кратного ВГН, но меньше 2-х. Пациенты были рандомизированы (1: 1: 1) для получения плацебо один раз в сутки,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кислоту 10 мг или титрования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(титрование 5 мг до 10 мг через 6 месяцев в зависимости от терапевтического ответа/ переносимости). Большинство (93%) пациентов получали лечение в сочетании с УДХК, а небольшое количество пациентов (7%), не переносящих УДХК, получали плацебо,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кислоту (10 мг) или титрование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(от 5 до 10 мг) в качестве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монотерапии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>. ЩФ и общий билирубин оценивались как категориальные переменные в первичной составной конечной точке, а также как непрерывные переменные во времени.</w:t>
      </w:r>
    </w:p>
    <w:p w14:paraId="4F658D66" w14:textId="77777777" w:rsidR="008532F1" w:rsidRPr="00015B24" w:rsidRDefault="00E5413B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lang w:eastAsia="ru-RU"/>
        </w:rPr>
        <w:t xml:space="preserve">В исследуемой популяции преобладали женщины (91%) и белокожие (94%). Средний возраст составлял 56 лет, большинство пациентов были моложе 65 лет. Средние базовые значения ЩФ варьировались от 316 до 327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ед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/л. Средние исходные значения общего билирубина варьировались от 10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мкмоль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/л до 12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мкмоль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>/л в группах лечения, при этом 92% пациентов находились в пределах нормы.</w:t>
      </w:r>
    </w:p>
    <w:p w14:paraId="05EE542E" w14:textId="77777777" w:rsidR="00E5413B" w:rsidRPr="00015B24" w:rsidRDefault="00E5413B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lang w:eastAsia="ru-RU"/>
        </w:rPr>
        <w:t xml:space="preserve">Терапия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кислотой 10 мг или титрование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(от 5 до 10 мг) привело к клинически и статистически значимому увеличению (p &lt;0,0001) по сравнению с плацебо числа пациентов, достигших основной комбинированной конечной точки во все временные точки исследования (см. Таблицу 3). Ответы возникли уже через 2 недели и были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дозозависимыми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кислота 5 мг по сравнению с 10 мг через 6 месяцев, p = 0,0358).</w:t>
      </w:r>
    </w:p>
    <w:p w14:paraId="23201F30" w14:textId="77777777" w:rsidR="000F383F" w:rsidRPr="00015B24" w:rsidRDefault="000F383F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Таблица </w:t>
      </w:r>
      <w:r w:rsidR="007B3E93" w:rsidRPr="00015B24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Pr="00015B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Процент пациентов с ПБЦ, достигших основной комбинированной конечной </w:t>
      </w:r>
      <w:proofErr w:type="spellStart"/>
      <w:r w:rsidRPr="00015B24">
        <w:rPr>
          <w:rFonts w:ascii="Times New Roman" w:hAnsi="Times New Roman"/>
          <w:b/>
          <w:bCs/>
          <w:sz w:val="24"/>
          <w:szCs w:val="24"/>
          <w:lang w:eastAsia="ru-RU"/>
        </w:rPr>
        <w:t>точки</w:t>
      </w:r>
      <w:r w:rsidRPr="00015B24">
        <w:rPr>
          <w:rFonts w:ascii="Times New Roman" w:hAnsi="Times New Roman"/>
          <w:b/>
          <w:bCs/>
          <w:sz w:val="24"/>
          <w:szCs w:val="24"/>
          <w:vertAlign w:val="superscript"/>
          <w:lang w:eastAsia="ru-RU"/>
        </w:rPr>
        <w:t>a</w:t>
      </w:r>
      <w:proofErr w:type="spellEnd"/>
      <w:r w:rsidRPr="00015B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6-м и 12-м месяцах лечения с УДХК</w:t>
      </w:r>
      <w:r w:rsidRPr="00015B24">
        <w:rPr>
          <w:rFonts w:ascii="Times New Roman" w:hAnsi="Times New Roman"/>
          <w:b/>
          <w:bCs/>
          <w:sz w:val="24"/>
          <w:szCs w:val="24"/>
          <w:vertAlign w:val="superscript"/>
          <w:lang w:val="en-US" w:eastAsia="ru-RU"/>
        </w:rPr>
        <w:t>b</w:t>
      </w:r>
      <w:r w:rsidRPr="00015B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или без нее.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6504BF" w:rsidRPr="00015B24" w14:paraId="6C1652C4" w14:textId="77777777" w:rsidTr="00D73C19">
        <w:tc>
          <w:tcPr>
            <w:tcW w:w="2321" w:type="dxa"/>
            <w:shd w:val="clear" w:color="auto" w:fill="auto"/>
          </w:tcPr>
          <w:p w14:paraId="225929F0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14:paraId="51AAAA30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Обетихолевая</w:t>
            </w:r>
            <w:proofErr w:type="spellEnd"/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кислота </w:t>
            </w:r>
          </w:p>
          <w:p w14:paraId="1B4FD0A7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мг</w:t>
            </w: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c</w:t>
            </w:r>
            <w:proofErr w:type="spellEnd"/>
          </w:p>
          <w:p w14:paraId="600448A5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(N = 73)</w:t>
            </w:r>
          </w:p>
        </w:tc>
        <w:tc>
          <w:tcPr>
            <w:tcW w:w="2322" w:type="dxa"/>
            <w:shd w:val="clear" w:color="auto" w:fill="auto"/>
          </w:tcPr>
          <w:p w14:paraId="1F63C1B4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Титрование</w:t>
            </w: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с</w:t>
            </w:r>
            <w:proofErr w:type="spellEnd"/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10ACF1C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Обетихолевой</w:t>
            </w:r>
            <w:proofErr w:type="spellEnd"/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кислоты</w:t>
            </w:r>
          </w:p>
          <w:p w14:paraId="26B85245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(N = 70)</w:t>
            </w:r>
          </w:p>
        </w:tc>
        <w:tc>
          <w:tcPr>
            <w:tcW w:w="2322" w:type="dxa"/>
            <w:shd w:val="clear" w:color="auto" w:fill="auto"/>
          </w:tcPr>
          <w:p w14:paraId="0838E687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Плацебо </w:t>
            </w:r>
          </w:p>
          <w:p w14:paraId="09F08B22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(N=73)</w:t>
            </w:r>
          </w:p>
        </w:tc>
      </w:tr>
      <w:tr w:rsidR="006504BF" w:rsidRPr="00015B24" w14:paraId="77629F5A" w14:textId="77777777" w:rsidTr="00D73C19">
        <w:tc>
          <w:tcPr>
            <w:tcW w:w="2321" w:type="dxa"/>
            <w:shd w:val="clear" w:color="auto" w:fill="auto"/>
          </w:tcPr>
          <w:p w14:paraId="2F722AFB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 месяц</w:t>
            </w:r>
          </w:p>
        </w:tc>
        <w:tc>
          <w:tcPr>
            <w:tcW w:w="2322" w:type="dxa"/>
            <w:shd w:val="clear" w:color="auto" w:fill="auto"/>
          </w:tcPr>
          <w:p w14:paraId="49E7A9BD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14:paraId="5767873C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14:paraId="39BBDEE4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4BF" w:rsidRPr="00015B24" w14:paraId="60B6171C" w14:textId="77777777" w:rsidTr="00D73C19">
        <w:tc>
          <w:tcPr>
            <w:tcW w:w="2321" w:type="dxa"/>
            <w:shd w:val="clear" w:color="auto" w:fill="auto"/>
          </w:tcPr>
          <w:p w14:paraId="1D882753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Респонденты, n (%)</w:t>
            </w:r>
          </w:p>
          <w:p w14:paraId="0B5956B9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Соответствующий 95% ДИ</w:t>
            </w:r>
          </w:p>
        </w:tc>
        <w:tc>
          <w:tcPr>
            <w:tcW w:w="2322" w:type="dxa"/>
            <w:shd w:val="clear" w:color="auto" w:fill="auto"/>
          </w:tcPr>
          <w:p w14:paraId="7D60BA31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37 (51)</w:t>
            </w:r>
          </w:p>
          <w:p w14:paraId="02D3D27B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39%, 62%</w:t>
            </w:r>
          </w:p>
        </w:tc>
        <w:tc>
          <w:tcPr>
            <w:tcW w:w="2322" w:type="dxa"/>
            <w:shd w:val="clear" w:color="auto" w:fill="auto"/>
          </w:tcPr>
          <w:p w14:paraId="133E62B9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24 (34)</w:t>
            </w:r>
          </w:p>
          <w:p w14:paraId="5B5E02DD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23%, 45%</w:t>
            </w:r>
          </w:p>
        </w:tc>
        <w:tc>
          <w:tcPr>
            <w:tcW w:w="2322" w:type="dxa"/>
            <w:shd w:val="clear" w:color="auto" w:fill="auto"/>
          </w:tcPr>
          <w:p w14:paraId="40A0B6D8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5 (7)</w:t>
            </w:r>
          </w:p>
          <w:p w14:paraId="70935F26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1%, 13%</w:t>
            </w:r>
          </w:p>
        </w:tc>
      </w:tr>
      <w:tr w:rsidR="006504BF" w:rsidRPr="00015B24" w14:paraId="66F243A6" w14:textId="77777777" w:rsidTr="00D73C19">
        <w:tc>
          <w:tcPr>
            <w:tcW w:w="2321" w:type="dxa"/>
            <w:shd w:val="clear" w:color="auto" w:fill="auto"/>
          </w:tcPr>
          <w:p w14:paraId="44A17300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р-значение</w:t>
            </w:r>
            <w:r w:rsidRPr="00015B24"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d</w:t>
            </w:r>
          </w:p>
        </w:tc>
        <w:tc>
          <w:tcPr>
            <w:tcW w:w="2322" w:type="dxa"/>
            <w:shd w:val="clear" w:color="auto" w:fill="auto"/>
          </w:tcPr>
          <w:p w14:paraId="00C59B13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&lt;0.0001</w:t>
            </w:r>
          </w:p>
        </w:tc>
        <w:tc>
          <w:tcPr>
            <w:tcW w:w="2322" w:type="dxa"/>
            <w:shd w:val="clear" w:color="auto" w:fill="auto"/>
          </w:tcPr>
          <w:p w14:paraId="37DAD3BC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&lt;0.0001</w:t>
            </w:r>
          </w:p>
        </w:tc>
        <w:tc>
          <w:tcPr>
            <w:tcW w:w="2322" w:type="dxa"/>
            <w:shd w:val="clear" w:color="auto" w:fill="auto"/>
          </w:tcPr>
          <w:p w14:paraId="60F9B71A" w14:textId="77777777" w:rsidR="006504BF" w:rsidRPr="00015B24" w:rsidRDefault="0042780C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Не применимо</w:t>
            </w:r>
          </w:p>
        </w:tc>
      </w:tr>
      <w:tr w:rsidR="006504BF" w:rsidRPr="00015B24" w14:paraId="6B8305AC" w14:textId="77777777" w:rsidTr="00D73C19">
        <w:tc>
          <w:tcPr>
            <w:tcW w:w="2321" w:type="dxa"/>
            <w:shd w:val="clear" w:color="auto" w:fill="auto"/>
          </w:tcPr>
          <w:p w14:paraId="771A2406" w14:textId="77777777" w:rsidR="006504BF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 месяц</w:t>
            </w:r>
          </w:p>
        </w:tc>
        <w:tc>
          <w:tcPr>
            <w:tcW w:w="2322" w:type="dxa"/>
            <w:shd w:val="clear" w:color="auto" w:fill="auto"/>
          </w:tcPr>
          <w:p w14:paraId="40E4E986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14:paraId="28DF9086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14:paraId="23B82C2A" w14:textId="77777777" w:rsidR="006504BF" w:rsidRPr="00015B24" w:rsidRDefault="006504BF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4BF" w:rsidRPr="00015B24" w14:paraId="1460FFE3" w14:textId="77777777" w:rsidTr="00D73C19">
        <w:tc>
          <w:tcPr>
            <w:tcW w:w="2321" w:type="dxa"/>
            <w:shd w:val="clear" w:color="auto" w:fill="auto"/>
          </w:tcPr>
          <w:p w14:paraId="1C7D7D17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Респонденты, n (%)</w:t>
            </w:r>
          </w:p>
          <w:p w14:paraId="15349A86" w14:textId="77777777" w:rsidR="006504BF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Соответствующий 95% ДИ</w:t>
            </w:r>
          </w:p>
        </w:tc>
        <w:tc>
          <w:tcPr>
            <w:tcW w:w="2322" w:type="dxa"/>
            <w:shd w:val="clear" w:color="auto" w:fill="auto"/>
          </w:tcPr>
          <w:p w14:paraId="1E18BEE1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35 (48)</w:t>
            </w:r>
          </w:p>
          <w:p w14:paraId="365F7A0E" w14:textId="77777777" w:rsidR="006504BF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36%, 60%</w:t>
            </w:r>
          </w:p>
        </w:tc>
        <w:tc>
          <w:tcPr>
            <w:tcW w:w="2322" w:type="dxa"/>
            <w:shd w:val="clear" w:color="auto" w:fill="auto"/>
          </w:tcPr>
          <w:p w14:paraId="07DA4D65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32 (46)</w:t>
            </w:r>
          </w:p>
          <w:p w14:paraId="5CD7DB27" w14:textId="77777777" w:rsidR="006504BF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34%, 58%</w:t>
            </w:r>
          </w:p>
        </w:tc>
        <w:tc>
          <w:tcPr>
            <w:tcW w:w="2322" w:type="dxa"/>
            <w:shd w:val="clear" w:color="auto" w:fill="auto"/>
          </w:tcPr>
          <w:p w14:paraId="5FFF6199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7 (10)</w:t>
            </w:r>
          </w:p>
          <w:p w14:paraId="63502324" w14:textId="77777777" w:rsidR="006504BF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4%, 19%</w:t>
            </w:r>
          </w:p>
        </w:tc>
      </w:tr>
      <w:tr w:rsidR="007D7851" w:rsidRPr="00015B24" w14:paraId="5D92F61E" w14:textId="77777777" w:rsidTr="00D73C19">
        <w:tc>
          <w:tcPr>
            <w:tcW w:w="2321" w:type="dxa"/>
            <w:shd w:val="clear" w:color="auto" w:fill="auto"/>
          </w:tcPr>
          <w:p w14:paraId="684558D7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р-значение</w:t>
            </w:r>
            <w:r w:rsidRPr="00015B24"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d</w:t>
            </w:r>
          </w:p>
        </w:tc>
        <w:tc>
          <w:tcPr>
            <w:tcW w:w="2322" w:type="dxa"/>
            <w:shd w:val="clear" w:color="auto" w:fill="auto"/>
          </w:tcPr>
          <w:p w14:paraId="476E24D8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&lt;0.0001</w:t>
            </w:r>
          </w:p>
        </w:tc>
        <w:tc>
          <w:tcPr>
            <w:tcW w:w="2322" w:type="dxa"/>
            <w:shd w:val="clear" w:color="auto" w:fill="auto"/>
          </w:tcPr>
          <w:p w14:paraId="67884C28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&lt;0.0001</w:t>
            </w:r>
          </w:p>
        </w:tc>
        <w:tc>
          <w:tcPr>
            <w:tcW w:w="2322" w:type="dxa"/>
            <w:shd w:val="clear" w:color="auto" w:fill="auto"/>
          </w:tcPr>
          <w:p w14:paraId="72DE84A0" w14:textId="77777777" w:rsidR="007D7851" w:rsidRPr="00015B24" w:rsidRDefault="0042780C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Не применимо</w:t>
            </w:r>
          </w:p>
        </w:tc>
      </w:tr>
      <w:tr w:rsidR="007D7851" w:rsidRPr="00015B24" w14:paraId="096F9555" w14:textId="77777777" w:rsidTr="00D73C19">
        <w:tc>
          <w:tcPr>
            <w:tcW w:w="9287" w:type="dxa"/>
            <w:gridSpan w:val="4"/>
            <w:shd w:val="clear" w:color="auto" w:fill="auto"/>
          </w:tcPr>
          <w:p w14:paraId="69F8D0CF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Компоненты первичной конечной </w:t>
            </w:r>
            <w:proofErr w:type="spellStart"/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точки</w:t>
            </w:r>
            <w:r w:rsidRPr="00015B2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е</w:t>
            </w:r>
            <w:proofErr w:type="spellEnd"/>
          </w:p>
        </w:tc>
      </w:tr>
      <w:tr w:rsidR="007D7851" w:rsidRPr="00015B24" w14:paraId="75FCA673" w14:textId="77777777" w:rsidTr="00D73C19">
        <w:tc>
          <w:tcPr>
            <w:tcW w:w="2321" w:type="dxa"/>
            <w:shd w:val="clear" w:color="auto" w:fill="auto"/>
          </w:tcPr>
          <w:p w14:paraId="18C08239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ЩФ менее 1,67-кратной ВГН, n (%)</w:t>
            </w:r>
          </w:p>
        </w:tc>
        <w:tc>
          <w:tcPr>
            <w:tcW w:w="2322" w:type="dxa"/>
            <w:shd w:val="clear" w:color="auto" w:fill="auto"/>
          </w:tcPr>
          <w:p w14:paraId="2C507BDB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40 (55)</w:t>
            </w:r>
          </w:p>
        </w:tc>
        <w:tc>
          <w:tcPr>
            <w:tcW w:w="2322" w:type="dxa"/>
            <w:shd w:val="clear" w:color="auto" w:fill="auto"/>
          </w:tcPr>
          <w:p w14:paraId="26AC4E69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33 (47)</w:t>
            </w:r>
          </w:p>
        </w:tc>
        <w:tc>
          <w:tcPr>
            <w:tcW w:w="2322" w:type="dxa"/>
            <w:shd w:val="clear" w:color="auto" w:fill="auto"/>
          </w:tcPr>
          <w:p w14:paraId="3B48E16B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12 (16)</w:t>
            </w:r>
          </w:p>
        </w:tc>
      </w:tr>
      <w:tr w:rsidR="007D7851" w:rsidRPr="00015B24" w14:paraId="437647D7" w14:textId="77777777" w:rsidTr="00D73C19">
        <w:tc>
          <w:tcPr>
            <w:tcW w:w="2321" w:type="dxa"/>
            <w:shd w:val="clear" w:color="auto" w:fill="auto"/>
          </w:tcPr>
          <w:p w14:paraId="788A8F26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ЩФ минимум на 15%, n (%)</w:t>
            </w:r>
          </w:p>
        </w:tc>
        <w:tc>
          <w:tcPr>
            <w:tcW w:w="2322" w:type="dxa"/>
            <w:shd w:val="clear" w:color="auto" w:fill="auto"/>
          </w:tcPr>
          <w:p w14:paraId="76A28AEE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57 (78)</w:t>
            </w:r>
          </w:p>
        </w:tc>
        <w:tc>
          <w:tcPr>
            <w:tcW w:w="2322" w:type="dxa"/>
            <w:shd w:val="clear" w:color="auto" w:fill="auto"/>
          </w:tcPr>
          <w:p w14:paraId="54B8BC7A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54 (77)</w:t>
            </w:r>
          </w:p>
        </w:tc>
        <w:tc>
          <w:tcPr>
            <w:tcW w:w="2322" w:type="dxa"/>
            <w:shd w:val="clear" w:color="auto" w:fill="auto"/>
          </w:tcPr>
          <w:p w14:paraId="4E238370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21 (29)</w:t>
            </w:r>
          </w:p>
        </w:tc>
      </w:tr>
      <w:tr w:rsidR="007D7851" w:rsidRPr="00015B24" w14:paraId="091F25FD" w14:textId="77777777" w:rsidTr="00D73C19">
        <w:tc>
          <w:tcPr>
            <w:tcW w:w="2321" w:type="dxa"/>
            <w:shd w:val="clear" w:color="auto" w:fill="auto"/>
          </w:tcPr>
          <w:p w14:paraId="2BAEC904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Общий билирубин меньше или равен 1-кратной ВГН</w:t>
            </w:r>
            <w:r w:rsidRPr="00015B24">
              <w:rPr>
                <w:rFonts w:ascii="Times New Roman" w:hAnsi="Times New Roman"/>
                <w:sz w:val="24"/>
                <w:szCs w:val="24"/>
                <w:vertAlign w:val="superscript"/>
                <w:lang w:val="en-US" w:eastAsia="ru-RU"/>
              </w:rPr>
              <w:t>f</w:t>
            </w: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2322" w:type="dxa"/>
            <w:shd w:val="clear" w:color="auto" w:fill="auto"/>
          </w:tcPr>
          <w:p w14:paraId="6B6263FC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60 (82)</w:t>
            </w:r>
          </w:p>
        </w:tc>
        <w:tc>
          <w:tcPr>
            <w:tcW w:w="2322" w:type="dxa"/>
            <w:shd w:val="clear" w:color="auto" w:fill="auto"/>
          </w:tcPr>
          <w:p w14:paraId="38A2A9F7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62 (89)</w:t>
            </w:r>
          </w:p>
        </w:tc>
        <w:tc>
          <w:tcPr>
            <w:tcW w:w="2322" w:type="dxa"/>
            <w:shd w:val="clear" w:color="auto" w:fill="auto"/>
          </w:tcPr>
          <w:p w14:paraId="535F4677" w14:textId="77777777" w:rsidR="007D7851" w:rsidRPr="00015B24" w:rsidRDefault="007D7851" w:rsidP="00D73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5B24">
              <w:rPr>
                <w:rFonts w:ascii="Times New Roman" w:hAnsi="Times New Roman"/>
                <w:sz w:val="24"/>
                <w:szCs w:val="24"/>
                <w:lang w:eastAsia="ru-RU"/>
              </w:rPr>
              <w:t>57 (78)</w:t>
            </w:r>
          </w:p>
        </w:tc>
      </w:tr>
    </w:tbl>
    <w:p w14:paraId="0B011DD3" w14:textId="77777777" w:rsidR="00E5413B" w:rsidRPr="00015B24" w:rsidRDefault="00A51214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а </w:t>
      </w:r>
      <w:r w:rsidRPr="00015B24">
        <w:rPr>
          <w:rFonts w:ascii="Times New Roman" w:hAnsi="Times New Roman"/>
          <w:sz w:val="24"/>
          <w:szCs w:val="24"/>
          <w:lang w:eastAsia="ru-RU"/>
        </w:rPr>
        <w:t xml:space="preserve">Процент субъектов, достигших ответа, определяемого как ЩФ </w:t>
      </w:r>
      <w:r w:rsidR="00057514" w:rsidRPr="00015B24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015B24">
        <w:rPr>
          <w:rFonts w:ascii="Times New Roman" w:hAnsi="Times New Roman"/>
          <w:sz w:val="24"/>
          <w:szCs w:val="24"/>
          <w:lang w:eastAsia="ru-RU"/>
        </w:rPr>
        <w:t xml:space="preserve">1,67 раз </w:t>
      </w:r>
      <w:r w:rsidR="00057514" w:rsidRPr="00015B24">
        <w:rPr>
          <w:rFonts w:ascii="Times New Roman" w:hAnsi="Times New Roman"/>
          <w:sz w:val="24"/>
          <w:szCs w:val="24"/>
          <w:lang w:eastAsia="ru-RU"/>
        </w:rPr>
        <w:t xml:space="preserve">меньше </w:t>
      </w:r>
      <w:r w:rsidRPr="00015B24">
        <w:rPr>
          <w:rFonts w:ascii="Times New Roman" w:hAnsi="Times New Roman"/>
          <w:sz w:val="24"/>
          <w:szCs w:val="24"/>
          <w:lang w:eastAsia="ru-RU"/>
        </w:rPr>
        <w:t xml:space="preserve">ВГН, общий билирубин в пределах нормы и снижение ЩФ как минимум на 15%. </w:t>
      </w:r>
      <w:r w:rsidRPr="00015B24">
        <w:rPr>
          <w:rFonts w:ascii="Times New Roman" w:hAnsi="Times New Roman"/>
          <w:sz w:val="24"/>
          <w:szCs w:val="24"/>
          <w:lang w:eastAsia="ru-RU"/>
        </w:rPr>
        <w:lastRenderedPageBreak/>
        <w:t>Отсутствующие значения считались отсутствием ответа. Для расчета 95% доверительных интервалов (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Cis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>) использовался точный критерий Фишера.</w:t>
      </w:r>
    </w:p>
    <w:p w14:paraId="44E1E2FF" w14:textId="77777777" w:rsidR="00A51214" w:rsidRPr="00015B24" w:rsidRDefault="00A51214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b</w:t>
      </w:r>
      <w:r w:rsidRPr="00015B24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015B24">
        <w:rPr>
          <w:rFonts w:ascii="Times New Roman" w:hAnsi="Times New Roman"/>
          <w:sz w:val="24"/>
          <w:szCs w:val="24"/>
          <w:lang w:eastAsia="ru-RU"/>
        </w:rPr>
        <w:t xml:space="preserve">В исследовании участвовали 16 пациентов (7%) с непереносимостью и не получавшие одновременно УДХК: 6 пациентов (8%) в группе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10 мг, 5 пациентов (7%) в группе титрования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и 5 пациентов (7%) в группе плацебо.</w:t>
      </w:r>
    </w:p>
    <w:p w14:paraId="28CE2515" w14:textId="77777777" w:rsidR="00374597" w:rsidRPr="00015B24" w:rsidRDefault="000D555B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vertAlign w:val="superscript"/>
          <w:lang w:eastAsia="ru-RU"/>
        </w:rPr>
        <w:t>с</w:t>
      </w:r>
      <w:r w:rsidRPr="00015B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84B26" w:rsidRPr="00015B24">
        <w:rPr>
          <w:rFonts w:ascii="Times New Roman" w:hAnsi="Times New Roman"/>
          <w:sz w:val="24"/>
          <w:szCs w:val="24"/>
          <w:lang w:eastAsia="ru-RU"/>
        </w:rPr>
        <w:t xml:space="preserve">Пациенты были рандомизированы (1:1:1) для получения </w:t>
      </w:r>
      <w:proofErr w:type="spellStart"/>
      <w:r w:rsidR="00A84B26"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="00A84B26" w:rsidRPr="00015B24">
        <w:rPr>
          <w:rFonts w:ascii="Times New Roman" w:hAnsi="Times New Roman"/>
          <w:sz w:val="24"/>
          <w:szCs w:val="24"/>
          <w:lang w:eastAsia="ru-RU"/>
        </w:rPr>
        <w:t xml:space="preserve"> кислоты по 10 мг один раз в сутки в течение всех 12 месяцев исследования, или титрования </w:t>
      </w:r>
      <w:proofErr w:type="spellStart"/>
      <w:r w:rsidR="00A84B26"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="00A84B26" w:rsidRPr="00015B24">
        <w:rPr>
          <w:rFonts w:ascii="Times New Roman" w:hAnsi="Times New Roman"/>
          <w:sz w:val="24"/>
          <w:szCs w:val="24"/>
          <w:lang w:eastAsia="ru-RU"/>
        </w:rPr>
        <w:t xml:space="preserve"> кислоты (5 мг один раз в сутки в течение первых 6 месяцев, с возможностью увеличения до 10 мг один раз в сутки в течение последних 6 месяцев, если пациент переносил </w:t>
      </w:r>
      <w:proofErr w:type="spellStart"/>
      <w:r w:rsidR="00A84B26" w:rsidRPr="00015B24">
        <w:rPr>
          <w:rFonts w:ascii="Times New Roman" w:hAnsi="Times New Roman"/>
          <w:sz w:val="24"/>
          <w:szCs w:val="24"/>
          <w:lang w:eastAsia="ru-RU"/>
        </w:rPr>
        <w:t>обетихолевую</w:t>
      </w:r>
      <w:proofErr w:type="spellEnd"/>
      <w:r w:rsidR="00A84B26" w:rsidRPr="00015B24">
        <w:rPr>
          <w:rFonts w:ascii="Times New Roman" w:hAnsi="Times New Roman"/>
          <w:sz w:val="24"/>
          <w:szCs w:val="24"/>
          <w:lang w:eastAsia="ru-RU"/>
        </w:rPr>
        <w:t xml:space="preserve"> кислоту, но имел ЩФ в 1,67 раза выше ВГН или больше, и/или общий билирубин выше ВГН или снижение АЛП менее чем на 15%) или плацебо.</w:t>
      </w:r>
    </w:p>
    <w:p w14:paraId="0771654F" w14:textId="77777777" w:rsidR="008031DC" w:rsidRPr="00015B24" w:rsidRDefault="00D66938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d</w:t>
      </w:r>
      <w:r w:rsidRPr="00015B24">
        <w:rPr>
          <w:rFonts w:ascii="Times New Roman" w:hAnsi="Times New Roman"/>
          <w:sz w:val="24"/>
          <w:szCs w:val="24"/>
          <w:lang w:eastAsia="ru-RU"/>
        </w:rPr>
        <w:t xml:space="preserve">Титрование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и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кислота 10 мг по сравнению с плацебо. P-значения получены с помощью теста общей ассоциации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Кокрана-Мантеля-Хензеля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>, стратифицированного по непереносимости УДХК и ЩФ перед лечением, в 3 раза превышающий ВГН и/или АСТ в 2 раза выше ВГН и/или общий билирубин, превышающий ВГН.</w:t>
      </w:r>
    </w:p>
    <w:p w14:paraId="2448308A" w14:textId="77777777" w:rsidR="002E3AF6" w:rsidRPr="00015B24" w:rsidRDefault="002E3AF6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15B24">
        <w:rPr>
          <w:rFonts w:ascii="Times New Roman" w:hAnsi="Times New Roman"/>
          <w:sz w:val="24"/>
          <w:szCs w:val="24"/>
          <w:vertAlign w:val="superscript"/>
          <w:lang w:eastAsia="ru-RU"/>
        </w:rPr>
        <w:t>е</w:t>
      </w:r>
      <w:r w:rsidRPr="00015B24">
        <w:rPr>
          <w:rFonts w:ascii="Times New Roman" w:hAnsi="Times New Roman"/>
          <w:sz w:val="24"/>
          <w:szCs w:val="24"/>
          <w:lang w:eastAsia="ru-RU"/>
        </w:rPr>
        <w:t>Частота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ответа была рассчитана на основе анализа наблюдаемого случая (т.е. [n = наблюдаемый респондент]/[N = Выборка пациентов, начавших лечение (ITT)]); процент пациентов с 12 меся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чным значением </w:t>
      </w:r>
      <w:r w:rsidRPr="00015B24">
        <w:rPr>
          <w:rFonts w:ascii="Times New Roman" w:hAnsi="Times New Roman"/>
          <w:sz w:val="24"/>
          <w:szCs w:val="24"/>
          <w:lang w:eastAsia="ru-RU"/>
        </w:rPr>
        <w:t xml:space="preserve">составляет 86%, 91% и 96% для групп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10 мг, титрования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и плацебо, соответственно.</w:t>
      </w:r>
    </w:p>
    <w:p w14:paraId="007AD163" w14:textId="77777777" w:rsidR="00A84B26" w:rsidRPr="00015B24" w:rsidRDefault="007E4693" w:rsidP="0085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f</w:t>
      </w:r>
      <w:r w:rsidRPr="00015B24">
        <w:rPr>
          <w:rFonts w:ascii="Times New Roman" w:hAnsi="Times New Roman"/>
          <w:sz w:val="24"/>
          <w:szCs w:val="24"/>
          <w:lang w:eastAsia="ru-RU"/>
        </w:rPr>
        <w:t>Среднее исходное значение общего билирубина составляло 0,65 мг/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дл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и находилось в пределах нормы (то есть меньше или равно ВГН) у 92% включенных пациентов.</w:t>
      </w:r>
    </w:p>
    <w:p w14:paraId="02BF7FBC" w14:textId="77777777" w:rsidR="007E4693" w:rsidRPr="00015B24" w:rsidRDefault="007E4693" w:rsidP="007E4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>Среднее снижение ЩФ</w:t>
      </w:r>
    </w:p>
    <w:p w14:paraId="07940EB1" w14:textId="77777777" w:rsidR="007E4693" w:rsidRPr="00015B24" w:rsidRDefault="007E4693" w:rsidP="007E4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lang w:eastAsia="ru-RU"/>
        </w:rPr>
        <w:t xml:space="preserve">Среднее снижение ЩФ наблюдалось уже на 2 неделе и сохранялось в течение 12 месяцев у пациентов, получавших одну и ту же дозу в течение 12 месяцев. Для пациентов в группе титрования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кислоты, у которых доза была скорректирована с 5 мг один раз в сутки до 10 мг один раз в сутки, у большинства пациентов дополнительное снижение ЩФ наблюдалось к 12 месяцу.</w:t>
      </w:r>
    </w:p>
    <w:p w14:paraId="56044E89" w14:textId="77777777" w:rsidR="007E4693" w:rsidRPr="00015B24" w:rsidRDefault="007E4693" w:rsidP="007E4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>Среднее снижение гамма-</w:t>
      </w:r>
      <w:proofErr w:type="spellStart"/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>глутамилтрансферазы</w:t>
      </w:r>
      <w:proofErr w:type="spellEnd"/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(</w:t>
      </w:r>
      <w:r w:rsidR="0042780C" w:rsidRPr="00015B24">
        <w:rPr>
          <w:rFonts w:ascii="Times New Roman" w:hAnsi="Times New Roman"/>
          <w:i/>
          <w:iCs/>
          <w:sz w:val="24"/>
          <w:szCs w:val="24"/>
          <w:lang w:eastAsia="ru-RU"/>
        </w:rPr>
        <w:t>ГГТ</w:t>
      </w:r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</w:p>
    <w:p w14:paraId="7E45D21A" w14:textId="77777777" w:rsidR="007E4693" w:rsidRPr="00015B24" w:rsidRDefault="007E4693" w:rsidP="007E4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lang w:eastAsia="ru-RU"/>
        </w:rPr>
        <w:t xml:space="preserve">Среднее (95% ДИ) снижение GGT составило 178 (137, 219)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ед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/л в группе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10 мг, 138 (102, 174)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ед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/л в группе титрования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и 8 (-48, 32)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ед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>/л в группе плацебо.</w:t>
      </w:r>
    </w:p>
    <w:p w14:paraId="579A2B9A" w14:textId="77777777" w:rsidR="007E4693" w:rsidRPr="00015B24" w:rsidRDefault="007E4693" w:rsidP="007E4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proofErr w:type="spellStart"/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>Монотерапия</w:t>
      </w:r>
      <w:proofErr w:type="spellEnd"/>
    </w:p>
    <w:p w14:paraId="50878C09" w14:textId="77777777" w:rsidR="007E4693" w:rsidRPr="00015B24" w:rsidRDefault="00EB1430" w:rsidP="007E4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lang w:eastAsia="ru-RU"/>
        </w:rPr>
        <w:t>51%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 пациент с ПБЦ с исходным уровнем ЩФ в 1,67 раза выше </w:t>
      </w:r>
      <w:r w:rsidRPr="00015B24">
        <w:rPr>
          <w:rFonts w:ascii="Times New Roman" w:hAnsi="Times New Roman"/>
          <w:sz w:val="24"/>
          <w:szCs w:val="24"/>
          <w:lang w:eastAsia="ru-RU"/>
        </w:rPr>
        <w:t>ВГН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 и/или общим билирубином выше </w:t>
      </w:r>
      <w:r w:rsidRPr="00015B24">
        <w:rPr>
          <w:rFonts w:ascii="Times New Roman" w:hAnsi="Times New Roman"/>
          <w:sz w:val="24"/>
          <w:szCs w:val="24"/>
          <w:lang w:eastAsia="ru-RU"/>
        </w:rPr>
        <w:t>ВГН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 был оценен на биохимический ответ на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кислоту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 в качестве </w:t>
      </w:r>
      <w:proofErr w:type="spellStart"/>
      <w:r w:rsidR="007E4693" w:rsidRPr="00015B24">
        <w:rPr>
          <w:rFonts w:ascii="Times New Roman" w:hAnsi="Times New Roman"/>
          <w:sz w:val="24"/>
          <w:szCs w:val="24"/>
          <w:lang w:eastAsia="ru-RU"/>
        </w:rPr>
        <w:t>монотерапии</w:t>
      </w:r>
      <w:proofErr w:type="spellEnd"/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 (24 пациента получали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кислоту в дозировке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 10 мг один раз в </w:t>
      </w:r>
      <w:r w:rsidRPr="00015B24">
        <w:rPr>
          <w:rFonts w:ascii="Times New Roman" w:hAnsi="Times New Roman"/>
          <w:sz w:val="24"/>
          <w:szCs w:val="24"/>
          <w:lang w:eastAsia="ru-RU"/>
        </w:rPr>
        <w:t>сутки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 и 27 пациентов получали плацебо) в объединенно</w:t>
      </w:r>
      <w:r w:rsidRPr="00015B24">
        <w:rPr>
          <w:rFonts w:ascii="Times New Roman" w:hAnsi="Times New Roman"/>
          <w:sz w:val="24"/>
          <w:szCs w:val="24"/>
          <w:lang w:eastAsia="ru-RU"/>
        </w:rPr>
        <w:t>м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 анализ</w:t>
      </w:r>
      <w:r w:rsidRPr="00015B24">
        <w:rPr>
          <w:rFonts w:ascii="Times New Roman" w:hAnsi="Times New Roman"/>
          <w:sz w:val="24"/>
          <w:szCs w:val="24"/>
          <w:lang w:eastAsia="ru-RU"/>
        </w:rPr>
        <w:t>е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 данных фазы III рандомизированного двойного слепого плацебо-контролируемого 12-месячного исследования (POISE) и рандомизированного двойного слепого плацебо-контролируемого 3-месячного исследования. На 3-м месяце 9 (38%) пациентов, получавших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кислоту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, достигли ответа на комбинированную конечную точку по сравнению с 1 (4%) пациентом, получавшим плацебо. Среднее (95% ДИ) снижение ЩФ у пациентов, получавших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кислоту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, составило 246 (165, 327)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е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>д</w:t>
      </w:r>
      <w:proofErr w:type="spellEnd"/>
      <w:r w:rsidR="007E4693" w:rsidRPr="00015B24">
        <w:rPr>
          <w:rFonts w:ascii="Times New Roman" w:hAnsi="Times New Roman"/>
          <w:sz w:val="24"/>
          <w:szCs w:val="24"/>
          <w:lang w:eastAsia="ru-RU"/>
        </w:rPr>
        <w:t xml:space="preserve">/л по сравнению с увеличением на 17 (-7, 42)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е</w:t>
      </w:r>
      <w:r w:rsidR="007E4693" w:rsidRPr="00015B24">
        <w:rPr>
          <w:rFonts w:ascii="Times New Roman" w:hAnsi="Times New Roman"/>
          <w:sz w:val="24"/>
          <w:szCs w:val="24"/>
          <w:lang w:eastAsia="ru-RU"/>
        </w:rPr>
        <w:t>д</w:t>
      </w:r>
      <w:proofErr w:type="spellEnd"/>
      <w:r w:rsidR="007E4693" w:rsidRPr="00015B24">
        <w:rPr>
          <w:rFonts w:ascii="Times New Roman" w:hAnsi="Times New Roman"/>
          <w:sz w:val="24"/>
          <w:szCs w:val="24"/>
          <w:lang w:eastAsia="ru-RU"/>
        </w:rPr>
        <w:t>/л у пациентов, получавших плацебо.</w:t>
      </w:r>
    </w:p>
    <w:p w14:paraId="7B140DFB" w14:textId="77777777" w:rsidR="007B3E93" w:rsidRPr="00015B24" w:rsidRDefault="007B3E93" w:rsidP="007E4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/>
          <w:iCs/>
          <w:sz w:val="24"/>
          <w:szCs w:val="24"/>
          <w:lang w:eastAsia="ru-RU"/>
        </w:rPr>
        <w:t>Дети</w:t>
      </w:r>
    </w:p>
    <w:p w14:paraId="4B6958C9" w14:textId="77777777" w:rsidR="00E562FB" w:rsidRPr="00015B24" w:rsidRDefault="00E562FB" w:rsidP="00E56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B24">
        <w:rPr>
          <w:rFonts w:ascii="Times New Roman" w:hAnsi="Times New Roman"/>
          <w:sz w:val="24"/>
          <w:szCs w:val="24"/>
          <w:lang w:eastAsia="ru-RU"/>
        </w:rPr>
        <w:t xml:space="preserve">Европейское агентство по лекарственным средствам сняла с себя обязательства предоставлять результаты исследований </w:t>
      </w: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кислоты во всех подгруппах детской популяции с ПБЦ (см. раздел 4.2).</w:t>
      </w:r>
    </w:p>
    <w:p w14:paraId="237FE193" w14:textId="77777777" w:rsidR="007B3E93" w:rsidRPr="00015B24" w:rsidRDefault="00E562FB" w:rsidP="007E4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15B24">
        <w:rPr>
          <w:rFonts w:ascii="Times New Roman" w:hAnsi="Times New Roman"/>
          <w:sz w:val="24"/>
          <w:szCs w:val="24"/>
          <w:lang w:eastAsia="ru-RU"/>
        </w:rPr>
        <w:lastRenderedPageBreak/>
        <w:t>Обетихолевая</w:t>
      </w:r>
      <w:proofErr w:type="spellEnd"/>
      <w:r w:rsidRPr="00015B24">
        <w:rPr>
          <w:rFonts w:ascii="Times New Roman" w:hAnsi="Times New Roman"/>
          <w:sz w:val="24"/>
          <w:szCs w:val="24"/>
          <w:lang w:eastAsia="ru-RU"/>
        </w:rPr>
        <w:t xml:space="preserve"> кислота была разрешена по так называемой схеме «условного одобрения». Это означает, что ожидаются дополнительные доказательства по данному лекарственному средству.</w:t>
      </w:r>
    </w:p>
    <w:p w14:paraId="7BFD93F9" w14:textId="77777777" w:rsidR="00C153F2" w:rsidRPr="00015B24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4A22B3EA" w14:textId="77777777" w:rsidR="00CE03ED" w:rsidRPr="00015B24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015B24">
        <w:rPr>
          <w:rFonts w:ascii="Times New Roman" w:hAnsi="Times New Roman"/>
          <w:i/>
          <w:sz w:val="24"/>
          <w:szCs w:val="24"/>
          <w:lang w:bidi="ru-RU"/>
        </w:rPr>
        <w:t>Абсорбция</w:t>
      </w:r>
    </w:p>
    <w:p w14:paraId="305CE69C" w14:textId="77777777" w:rsidR="00FF7C3F" w:rsidRPr="00015B24" w:rsidRDefault="00FF7C3F" w:rsidP="00FF7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кислота абсорбируется в пиковых концентрациях в плазме (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C</w:t>
      </w:r>
      <w:r w:rsidRPr="00015B24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>), в среднем через 2 часа (Т</w:t>
      </w:r>
      <w:r w:rsidRPr="00015B24">
        <w:rPr>
          <w:rFonts w:ascii="Times New Roman" w:hAnsi="Times New Roman"/>
          <w:iCs/>
          <w:sz w:val="24"/>
          <w:szCs w:val="24"/>
          <w:vertAlign w:val="subscript"/>
          <w:lang w:val="en-US" w:eastAsia="ru-RU"/>
        </w:rPr>
        <w:t>max</w:t>
      </w:r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). Одновременное применение с пищей не влияет на степень абсорбции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кислоты.</w:t>
      </w:r>
    </w:p>
    <w:p w14:paraId="7707B6E6" w14:textId="77777777" w:rsidR="00A0709E" w:rsidRPr="00015B24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015B24">
        <w:rPr>
          <w:rFonts w:ascii="Times New Roman" w:hAnsi="Times New Roman"/>
          <w:i/>
          <w:sz w:val="24"/>
          <w:szCs w:val="24"/>
          <w:lang w:bidi="ru-RU"/>
        </w:rPr>
        <w:t>Распределение</w:t>
      </w:r>
    </w:p>
    <w:p w14:paraId="7E0099A6" w14:textId="77777777" w:rsidR="00AE257B" w:rsidRPr="00015B24" w:rsidRDefault="00AE257B" w:rsidP="00AE2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Связывание с белками плазмы человека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и ее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конъюгатов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превышает 99%. Объем распределения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составляет 618 л. Объем распределения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глико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- и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таурообетихолевой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не определен.</w:t>
      </w:r>
    </w:p>
    <w:p w14:paraId="78137E7F" w14:textId="77777777" w:rsidR="00A0709E" w:rsidRPr="00015B24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015B24">
        <w:rPr>
          <w:rFonts w:ascii="Times New Roman" w:hAnsi="Times New Roman"/>
          <w:i/>
          <w:sz w:val="24"/>
          <w:szCs w:val="24"/>
          <w:lang w:bidi="ru-RU"/>
        </w:rPr>
        <w:t>Биотрансформация</w:t>
      </w:r>
    </w:p>
    <w:p w14:paraId="1EE8BE75" w14:textId="77777777" w:rsidR="00AE257B" w:rsidRPr="00015B24" w:rsidRDefault="00AE257B" w:rsidP="00AE2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кислота соединяется с глицином или таурином в печени и выделяется с желчью. Эти глициновые и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тауриновые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конъюгаты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всасываются в тонком кишечнике, что приводит к энтерогепатической рециркуляции.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Конъюгаты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могут быть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деконъюгированы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в подвздошной и толстой кишке кишечной микробиотой, что приводит к превращению в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обетихолевую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кислоту, которая может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реабсорбироваться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или выводиться с фекалиями, что является основным путем выведения.</w:t>
      </w:r>
    </w:p>
    <w:p w14:paraId="61DF4CC5" w14:textId="77777777" w:rsidR="00AE257B" w:rsidRPr="00015B24" w:rsidRDefault="00AE257B" w:rsidP="00AE2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После ежедневного введения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происходило накопление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конъюгатов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глицина и таурина с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кислотой, которые обладают фармакологической активностью </w:t>
      </w:r>
      <w:proofErr w:type="spellStart"/>
      <w:r w:rsidRPr="00015B24">
        <w:rPr>
          <w:rFonts w:ascii="Times New Roman" w:hAnsi="Times New Roman"/>
          <w:i/>
          <w:sz w:val="24"/>
          <w:szCs w:val="24"/>
          <w:lang w:eastAsia="ru-RU"/>
        </w:rPr>
        <w:t>in</w:t>
      </w:r>
      <w:proofErr w:type="spellEnd"/>
      <w:r w:rsidRPr="00015B2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015B24">
        <w:rPr>
          <w:rFonts w:ascii="Times New Roman" w:hAnsi="Times New Roman"/>
          <w:i/>
          <w:sz w:val="24"/>
          <w:szCs w:val="24"/>
          <w:lang w:eastAsia="ru-RU"/>
        </w:rPr>
        <w:t>vitro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, аналогичной исходному лекарственному средству. Соотношение метаболит к родительскому элементу в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конъюгатах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глицина и таурина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составляло 13,8 и 12,3 соответственно после ежедневного приема. Образуется дополнительный третий метаболит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кислоты, 3-глюкуронид, но считается, что он обладает минимальной фармакологической активностью.</w:t>
      </w:r>
    </w:p>
    <w:p w14:paraId="4E90F93B" w14:textId="77777777" w:rsidR="00A0709E" w:rsidRPr="00015B24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015B24">
        <w:rPr>
          <w:rFonts w:ascii="Times New Roman" w:hAnsi="Times New Roman"/>
          <w:i/>
          <w:sz w:val="24"/>
          <w:szCs w:val="24"/>
          <w:lang w:bidi="ru-RU"/>
        </w:rPr>
        <w:t>Элиминация</w:t>
      </w:r>
    </w:p>
    <w:p w14:paraId="2AB63A35" w14:textId="77777777" w:rsidR="003F3E6B" w:rsidRPr="00015B24" w:rsidRDefault="003F3E6B" w:rsidP="003F3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После введения радиоактивно меченной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более 87% выводится с фекалиями. С мочой выводится менее 3%.</w:t>
      </w:r>
    </w:p>
    <w:p w14:paraId="2BE3BAB4" w14:textId="77777777" w:rsidR="00267F7C" w:rsidRPr="00015B24" w:rsidRDefault="00267F7C" w:rsidP="00267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15B24">
        <w:rPr>
          <w:rFonts w:ascii="Times New Roman" w:hAnsi="Times New Roman"/>
          <w:i/>
          <w:sz w:val="24"/>
          <w:szCs w:val="24"/>
          <w:lang w:eastAsia="ru-RU"/>
        </w:rPr>
        <w:t>Пропорциональность дозы/времени</w:t>
      </w:r>
    </w:p>
    <w:p w14:paraId="5A7E4EC0" w14:textId="77777777" w:rsidR="00267F7C" w:rsidRPr="00015B24" w:rsidRDefault="00267F7C" w:rsidP="00267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После многократного введения 5, 10 и 25 мг один раз в сутки в течение 14 дней системное воздействие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пропорционально увеличивает дозу. Экспозиции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глико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- и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таурообетихолевой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и общего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увеличиваются более чем пропорционально дозе.</w:t>
      </w:r>
    </w:p>
    <w:p w14:paraId="3AA000E7" w14:textId="77777777" w:rsidR="00267F7C" w:rsidRPr="00015B24" w:rsidRDefault="00267F7C" w:rsidP="00267F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>Особые группы населения</w:t>
      </w:r>
    </w:p>
    <w:p w14:paraId="274F8000" w14:textId="77777777" w:rsidR="00267F7C" w:rsidRPr="00015B24" w:rsidRDefault="00267F7C" w:rsidP="00267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i/>
          <w:iCs/>
          <w:sz w:val="24"/>
          <w:szCs w:val="24"/>
          <w:lang w:eastAsia="ru-RU"/>
        </w:rPr>
        <w:t>Пациенты пожилого возраста</w:t>
      </w:r>
    </w:p>
    <w:p w14:paraId="2FEE50ED" w14:textId="77777777" w:rsidR="00957BAF" w:rsidRPr="00015B24" w:rsidRDefault="00267F7C" w:rsidP="00267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Данные о фармакокинетике у пожилых пациентов (≥ 65 лет) ограничены. Популяционный фармакокинетический анализ, проведенный с использованием данных пациентов в возрасте до 65 лет, установил, что существенное влияние возраста на выведение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 из кровотока маловероятно.</w:t>
      </w:r>
    </w:p>
    <w:p w14:paraId="64A34E2A" w14:textId="77777777" w:rsidR="007016E0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i/>
          <w:iCs/>
          <w:sz w:val="24"/>
          <w:szCs w:val="24"/>
          <w:lang w:eastAsia="ru-RU"/>
        </w:rPr>
        <w:t>Дети</w:t>
      </w:r>
    </w:p>
    <w:p w14:paraId="67FA98B1" w14:textId="77777777" w:rsidR="00267F7C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Фармакокинетические исследования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 у пациентов моложе 18 лет не проводились.</w:t>
      </w:r>
    </w:p>
    <w:p w14:paraId="13C0ACAC" w14:textId="77777777" w:rsidR="007016E0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i/>
          <w:iCs/>
          <w:sz w:val="24"/>
          <w:szCs w:val="24"/>
          <w:lang w:eastAsia="ru-RU"/>
        </w:rPr>
        <w:t>Пол</w:t>
      </w:r>
    </w:p>
    <w:p w14:paraId="61AD0B50" w14:textId="77777777" w:rsidR="007016E0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Фармакокинетический анализ населения установил, что пол не влияет на фармакокинетику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кислоты.</w:t>
      </w:r>
    </w:p>
    <w:p w14:paraId="4697EB2E" w14:textId="77777777" w:rsidR="007016E0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i/>
          <w:iCs/>
          <w:sz w:val="24"/>
          <w:szCs w:val="24"/>
          <w:lang w:eastAsia="ru-RU"/>
        </w:rPr>
        <w:t>Раса</w:t>
      </w:r>
    </w:p>
    <w:p w14:paraId="4D262BDC" w14:textId="77777777" w:rsidR="007016E0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Фармакокинетический анализ населения установил, что влияние расы на фармакокинетику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 маловероятно.</w:t>
      </w:r>
    </w:p>
    <w:p w14:paraId="4C6D8331" w14:textId="77777777" w:rsidR="007016E0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i/>
          <w:iCs/>
          <w:sz w:val="24"/>
          <w:szCs w:val="24"/>
          <w:lang w:eastAsia="ru-RU"/>
        </w:rPr>
        <w:t>Почечная недостаточность</w:t>
      </w:r>
    </w:p>
    <w:p w14:paraId="204EDAB3" w14:textId="77777777" w:rsidR="00D510DF" w:rsidRPr="00015B24" w:rsidRDefault="00D510DF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В специальном фармакокинетическом исследовании с однократным приемом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 в дозе 25 мг экспозиция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 и ее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конъюгатов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в плазме повышалась примерно в 1,4–1,6 раза у субъектов с легк</w:t>
      </w:r>
      <w:r w:rsidR="002F111E" w:rsidRPr="00015B24">
        <w:rPr>
          <w:rFonts w:ascii="Times New Roman" w:hAnsi="Times New Roman"/>
          <w:bCs/>
          <w:sz w:val="24"/>
          <w:szCs w:val="24"/>
          <w:lang w:eastAsia="ru-RU"/>
        </w:rPr>
        <w:t>ой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(модификация диеты при почечной недостаточности [MDRD]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рСКФ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≥ 60 и &lt; 90 мл/мин/1,73 м</w:t>
      </w:r>
      <w:r w:rsidRPr="00015B24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>2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), умеренной (MDRD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рСКФ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≥ 30 и &lt; 60 мл/мин/1,73 м</w:t>
      </w:r>
      <w:r w:rsidRPr="00015B24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>2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) и тяжелой (MDRD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рСКФ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≥ 15 и &lt; 30 мл/мин/1,73 м</w:t>
      </w:r>
      <w:r w:rsidRPr="00015B24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>2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>) почечной недостаточност</w:t>
      </w:r>
      <w:r w:rsidR="002F111E" w:rsidRPr="00015B24">
        <w:rPr>
          <w:rFonts w:ascii="Times New Roman" w:hAnsi="Times New Roman"/>
          <w:bCs/>
          <w:sz w:val="24"/>
          <w:szCs w:val="24"/>
          <w:lang w:eastAsia="ru-RU"/>
        </w:rPr>
        <w:t>ью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по сравнению с субъектами с нормальн</w:t>
      </w:r>
      <w:r w:rsidR="002F111E" w:rsidRPr="00015B24">
        <w:rPr>
          <w:rFonts w:ascii="Times New Roman" w:hAnsi="Times New Roman"/>
          <w:bCs/>
          <w:sz w:val="24"/>
          <w:szCs w:val="24"/>
          <w:lang w:eastAsia="ru-RU"/>
        </w:rPr>
        <w:t>ой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функци</w:t>
      </w:r>
      <w:r w:rsidR="002F111E" w:rsidRPr="00015B24">
        <w:rPr>
          <w:rFonts w:ascii="Times New Roman" w:hAnsi="Times New Roman"/>
          <w:bCs/>
          <w:sz w:val="24"/>
          <w:szCs w:val="24"/>
          <w:lang w:eastAsia="ru-RU"/>
        </w:rPr>
        <w:t>ей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почек. </w:t>
      </w:r>
      <w:r w:rsidR="002F111E" w:rsidRPr="00015B24">
        <w:rPr>
          <w:rFonts w:ascii="Times New Roman" w:hAnsi="Times New Roman"/>
          <w:bCs/>
          <w:sz w:val="24"/>
          <w:szCs w:val="24"/>
          <w:lang w:eastAsia="ru-RU"/>
        </w:rPr>
        <w:t>Это небольшое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увеличение не считается клинически значимым</w:t>
      </w:r>
      <w:r w:rsidR="002F111E"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явлением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14:paraId="0C28CE16" w14:textId="77777777" w:rsidR="007016E0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i/>
          <w:iCs/>
          <w:sz w:val="24"/>
          <w:szCs w:val="24"/>
          <w:lang w:eastAsia="ru-RU"/>
        </w:rPr>
        <w:t>Печеночная недостаточность</w:t>
      </w:r>
    </w:p>
    <w:p w14:paraId="1476D94B" w14:textId="77777777" w:rsidR="002F111E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Обетихолевая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кислота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метаболизируется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в печени и кишечнике. Системное воздействие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кислоты, ее активных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конъюгатов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и эндогенных желчных кислот увеличивается у пациентов с умеренной и тяжелой печеночной недостаточностью (классы B и C по классификации Чайлд-Пью соответственно) по сравнению со здоровыми пациентами из контрольной группы</w:t>
      </w:r>
      <w:r w:rsidR="002F111E"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(см. раздел 4.2, 4.3 и 4.4)</w:t>
      </w: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14:paraId="2E7AC7AC" w14:textId="77777777" w:rsidR="007016E0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Влияние легкой печеночной недостаточности (класс А по классификации Чайлд-Пью) на фармакокинетику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 было незначительным, поэтому для пациентов с легкой степенью печеночной недостаточности корректировка дозы не требуется.</w:t>
      </w:r>
    </w:p>
    <w:p w14:paraId="374AD884" w14:textId="77777777" w:rsidR="007016E0" w:rsidRPr="00015B24" w:rsidRDefault="007016E0" w:rsidP="00701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У субъектов с легкой, умеренной и тяжелой печеночной недостаточностью (классы A, B и C по шкале Чайлд-Пью соответственно) средняя AUC общей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кислоты, суммы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 и двух ее активных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конъюгатов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увеличивалась на 1,13-, 4- и в 17 раз, соответственно, по сравнению с субъектами с нормальной функцией печени после однократного введения 10 мг </w:t>
      </w:r>
      <w:proofErr w:type="spellStart"/>
      <w:r w:rsidRPr="00015B24">
        <w:rPr>
          <w:rFonts w:ascii="Times New Roman" w:hAnsi="Times New Roman"/>
          <w:b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bCs/>
          <w:sz w:val="24"/>
          <w:szCs w:val="24"/>
          <w:lang w:eastAsia="ru-RU"/>
        </w:rPr>
        <w:t xml:space="preserve"> кислоты.</w:t>
      </w:r>
    </w:p>
    <w:p w14:paraId="4D612149" w14:textId="77777777" w:rsidR="0042780C" w:rsidRPr="00015B24" w:rsidRDefault="0042780C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246C57D" w14:textId="77777777" w:rsidR="00DF3381" w:rsidRPr="00015B24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 xml:space="preserve">5.3. </w:t>
      </w:r>
      <w:r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10130955" w14:textId="77777777" w:rsidR="00B5010C" w:rsidRPr="00015B24" w:rsidRDefault="00B5010C" w:rsidP="00B50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015B24">
        <w:rPr>
          <w:rFonts w:ascii="Times New Roman" w:hAnsi="Times New Roman"/>
          <w:iCs/>
          <w:sz w:val="24"/>
          <w:szCs w:val="24"/>
          <w:lang w:eastAsia="ru-RU"/>
        </w:rPr>
        <w:t>Доклинические данные не выявили особ</w:t>
      </w:r>
      <w:r w:rsidR="0022629F" w:rsidRPr="00015B24">
        <w:rPr>
          <w:rFonts w:ascii="Times New Roman" w:hAnsi="Times New Roman"/>
          <w:iCs/>
          <w:sz w:val="24"/>
          <w:szCs w:val="24"/>
          <w:lang w:eastAsia="ru-RU"/>
        </w:rPr>
        <w:t>ой</w:t>
      </w:r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опасност</w:t>
      </w:r>
      <w:r w:rsidR="0022629F" w:rsidRPr="00015B24"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для человека, основанную на традиционных исследованиях фармакологии безопасности, токсичности многократных доз,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генотоксичности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>, канцерогенном потенциале и токсичности для фертильности, репродукции и развития.</w:t>
      </w:r>
    </w:p>
    <w:p w14:paraId="4559A8D7" w14:textId="77777777" w:rsidR="00CE03ED" w:rsidRPr="00015B24" w:rsidRDefault="00B5010C" w:rsidP="00B50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Пероральное введение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выше </w:t>
      </w:r>
      <w:r w:rsidRPr="00015B24">
        <w:rPr>
          <w:rFonts w:ascii="Times New Roman" w:hAnsi="Times New Roman"/>
          <w:iCs/>
          <w:sz w:val="24"/>
          <w:szCs w:val="24"/>
          <w:lang w:val="en-US" w:eastAsia="ru-RU"/>
        </w:rPr>
        <w:t>NOAEL</w:t>
      </w:r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(Уровень отсутствия наблюдаемых побочных эффектов) мышам, крысам и собакам в основных исследованиях токсичности при повторных дозах привело, в первую очередь, к воздействию на гепатобилиарную систему. К ним относятся увеличение веса печени, изменения химических параметров сыворотки (АЛТ, АСТ, ЛДГ, ЩФ, ГГТ и/или билирубина), а также макроскопические/микроскопические изменения. Все изменения были обратимы при прекращении дозирования, соответствуют и позволяют прогнозировать ограничивающую дозу токсичности для людей (системное воздействие при NOAEL до 24 раз превышала максимальную рекомендованную дозу у человека). В исследовании пре- и послеродовой токсичности на крысах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тауро-конъюгат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 был обнаружен у детенышей, вскармливаемых самками, получавших дозу </w:t>
      </w:r>
      <w:proofErr w:type="spellStart"/>
      <w:r w:rsidRPr="00015B24">
        <w:rPr>
          <w:rFonts w:ascii="Times New Roman" w:hAnsi="Times New Roman"/>
          <w:iCs/>
          <w:sz w:val="24"/>
          <w:szCs w:val="24"/>
          <w:lang w:eastAsia="ru-RU"/>
        </w:rPr>
        <w:t>обетихолевой</w:t>
      </w:r>
      <w:proofErr w:type="spellEnd"/>
      <w:r w:rsidRPr="00015B24">
        <w:rPr>
          <w:rFonts w:ascii="Times New Roman" w:hAnsi="Times New Roman"/>
          <w:iCs/>
          <w:sz w:val="24"/>
          <w:szCs w:val="24"/>
          <w:lang w:eastAsia="ru-RU"/>
        </w:rPr>
        <w:t xml:space="preserve"> кислоты.</w:t>
      </w:r>
    </w:p>
    <w:p w14:paraId="1BAF2B55" w14:textId="77777777" w:rsidR="00012A9F" w:rsidRPr="00015B24" w:rsidRDefault="00012A9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A1E0C95" w14:textId="77777777" w:rsidR="00DF3381" w:rsidRPr="00015B24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5DD58C84" w14:textId="77777777" w:rsidR="005921EA" w:rsidRPr="00015B24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647C7C5E" w14:textId="77777777" w:rsidR="00012A9F" w:rsidRPr="00015B24" w:rsidRDefault="00012A9F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bookmarkStart w:id="16" w:name="_Hlk75182439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Целлюлоза микрокристаллическая тип 102 (</w:t>
      </w:r>
      <w:proofErr w:type="spellStart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Farmacel</w:t>
      </w:r>
      <w:proofErr w:type="spellEnd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 102)</w:t>
      </w:r>
    </w:p>
    <w:p w14:paraId="16BC08E1" w14:textId="77777777" w:rsidR="00012A9F" w:rsidRPr="00015B24" w:rsidRDefault="00012A9F" w:rsidP="00AE63B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Натрия крахмала </w:t>
      </w:r>
      <w:proofErr w:type="spellStart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гликолят</w:t>
      </w:r>
      <w:proofErr w:type="spellEnd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 (</w:t>
      </w:r>
      <w:proofErr w:type="spellStart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Primojel</w:t>
      </w:r>
      <w:proofErr w:type="spellEnd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proofErr w:type="spellStart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Type</w:t>
      </w:r>
      <w:proofErr w:type="spellEnd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-A)</w:t>
      </w:r>
    </w:p>
    <w:p w14:paraId="46AD5456" w14:textId="77777777" w:rsidR="00012A9F" w:rsidRPr="00015B24" w:rsidRDefault="00012A9F" w:rsidP="00012A9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Магния </w:t>
      </w:r>
      <w:proofErr w:type="spellStart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стеарат</w:t>
      </w:r>
      <w:proofErr w:type="spellEnd"/>
    </w:p>
    <w:p w14:paraId="028954B7" w14:textId="77777777" w:rsidR="00012A9F" w:rsidRPr="00015B24" w:rsidRDefault="00012A9F" w:rsidP="00012A9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(</w:t>
      </w:r>
      <w:proofErr w:type="spellStart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Ligamed</w:t>
      </w:r>
      <w:proofErr w:type="spellEnd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 MF-2-V)</w:t>
      </w:r>
    </w:p>
    <w:p w14:paraId="6983B26A" w14:textId="77777777" w:rsidR="00012A9F" w:rsidRPr="00015B24" w:rsidRDefault="00AE63BE" w:rsidP="00012A9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015B24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Пленочн</w:t>
      </w:r>
      <w:r w:rsidR="00012A9F" w:rsidRPr="00015B24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ая оболочка</w:t>
      </w:r>
    </w:p>
    <w:p w14:paraId="7C6086B7" w14:textId="77777777" w:rsidR="00012A9F" w:rsidRPr="00015B24" w:rsidRDefault="00012A9F" w:rsidP="00012A9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proofErr w:type="spellStart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Опадрай</w:t>
      </w:r>
      <w:proofErr w:type="spellEnd"/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® II желтый (85F520340):</w:t>
      </w:r>
    </w:p>
    <w:p w14:paraId="1E1D1524" w14:textId="77777777" w:rsidR="00012A9F" w:rsidRPr="00015B24" w:rsidRDefault="00012A9F" w:rsidP="00012A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>поливиниловый спирт, частично гидролизованный,</w:t>
      </w:r>
    </w:p>
    <w:p w14:paraId="5CC0C6E4" w14:textId="77777777" w:rsidR="00012A9F" w:rsidRPr="00015B24" w:rsidRDefault="00012A9F" w:rsidP="00012A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>титана диоксид (Е 171),</w:t>
      </w:r>
    </w:p>
    <w:p w14:paraId="6A9AF73C" w14:textId="77777777" w:rsidR="00012A9F" w:rsidRPr="00015B24" w:rsidRDefault="00012A9F" w:rsidP="00012A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макрогол</w:t>
      </w:r>
      <w:proofErr w:type="spellEnd"/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 (ПЭГ),</w:t>
      </w:r>
    </w:p>
    <w:p w14:paraId="560BB3E7" w14:textId="77777777" w:rsidR="00012A9F" w:rsidRPr="00015B24" w:rsidRDefault="00012A9F" w:rsidP="00012A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>тальк,</w:t>
      </w:r>
    </w:p>
    <w:p w14:paraId="1A018F78" w14:textId="77777777" w:rsidR="00012A9F" w:rsidRPr="00015B24" w:rsidRDefault="00012A9F" w:rsidP="00012A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>железа оксид желтый (</w:t>
      </w:r>
      <w:r w:rsidRPr="00015B24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015B24">
        <w:rPr>
          <w:rFonts w:ascii="Times New Roman" w:eastAsia="Times New Roman" w:hAnsi="Times New Roman"/>
          <w:sz w:val="24"/>
          <w:szCs w:val="24"/>
          <w:lang w:eastAsia="ru-RU"/>
        </w:rPr>
        <w:t xml:space="preserve"> 172)</w:t>
      </w:r>
    </w:p>
    <w:p w14:paraId="48E9AD4F" w14:textId="77777777" w:rsidR="0088348E" w:rsidRPr="00015B24" w:rsidRDefault="0088348E" w:rsidP="00012A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16"/>
    <w:p w14:paraId="47AA8AD0" w14:textId="77777777" w:rsidR="00DF3381" w:rsidRPr="00015B24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749C229A" w14:textId="77777777" w:rsidR="00215CBB" w:rsidRPr="00015B24" w:rsidRDefault="00F7521B" w:rsidP="0021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>Не применимо</w:t>
      </w:r>
    </w:p>
    <w:p w14:paraId="24E8745E" w14:textId="77777777" w:rsidR="0088348E" w:rsidRPr="00015B24" w:rsidRDefault="0088348E" w:rsidP="0021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04C50EE5" w14:textId="77777777" w:rsidR="009128A3" w:rsidRPr="00015B24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015B24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015B24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015B24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16D92B61" w14:textId="77777777" w:rsidR="00CE03ED" w:rsidRPr="00015B24" w:rsidRDefault="0088348E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015B24">
        <w:rPr>
          <w:rFonts w:ascii="Times New Roman" w:hAnsi="Times New Roman"/>
          <w:sz w:val="24"/>
          <w:szCs w:val="24"/>
          <w:lang w:val="kk-KZ" w:bidi="ru-RU"/>
        </w:rPr>
        <w:t>3</w:t>
      </w:r>
      <w:r w:rsidR="002F7EF1" w:rsidRPr="00015B24">
        <w:rPr>
          <w:rFonts w:ascii="Times New Roman" w:hAnsi="Times New Roman"/>
          <w:sz w:val="24"/>
          <w:szCs w:val="24"/>
          <w:lang w:bidi="ru-RU"/>
        </w:rPr>
        <w:t xml:space="preserve"> года</w:t>
      </w:r>
    </w:p>
    <w:p w14:paraId="2461E6F5" w14:textId="77777777" w:rsidR="00CE03ED" w:rsidRPr="00015B24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015B24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5AE5F9C1" w14:textId="77777777" w:rsidR="0088348E" w:rsidRPr="00015B24" w:rsidRDefault="0088348E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AB3628" w14:textId="77777777" w:rsidR="00632571" w:rsidRPr="00015B24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015B24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1A497C98" w14:textId="77777777" w:rsidR="00632571" w:rsidRPr="00015B24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 xml:space="preserve">Хранить при </w:t>
      </w:r>
      <w:r w:rsidR="00136115" w:rsidRPr="00015B24">
        <w:rPr>
          <w:rFonts w:ascii="Times New Roman" w:hAnsi="Times New Roman"/>
          <w:sz w:val="24"/>
          <w:szCs w:val="24"/>
        </w:rPr>
        <w:t>температуре не</w:t>
      </w:r>
      <w:r w:rsidR="005921EA" w:rsidRPr="00015B24">
        <w:rPr>
          <w:rFonts w:ascii="Times New Roman" w:hAnsi="Times New Roman"/>
          <w:sz w:val="24"/>
          <w:szCs w:val="24"/>
        </w:rPr>
        <w:t xml:space="preserve"> выше </w:t>
      </w:r>
      <w:r w:rsidR="0019522C" w:rsidRPr="00015B24">
        <w:rPr>
          <w:rFonts w:ascii="Times New Roman" w:hAnsi="Times New Roman"/>
          <w:sz w:val="24"/>
          <w:szCs w:val="24"/>
        </w:rPr>
        <w:t>25</w:t>
      </w:r>
      <w:r w:rsidR="00440E84" w:rsidRPr="00015B2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15B24">
        <w:rPr>
          <w:rFonts w:ascii="Times New Roman" w:hAnsi="Times New Roman"/>
          <w:sz w:val="24"/>
          <w:szCs w:val="24"/>
        </w:rPr>
        <w:t xml:space="preserve">ºС. </w:t>
      </w:r>
    </w:p>
    <w:p w14:paraId="103D8174" w14:textId="77777777" w:rsidR="00632571" w:rsidRPr="00015B24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17" w:name="2175220289"/>
    </w:p>
    <w:p w14:paraId="229BF564" w14:textId="77777777" w:rsidR="00DD2623" w:rsidRPr="00015B24" w:rsidRDefault="00DD2623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7"/>
    <w:p w14:paraId="5421C449" w14:textId="77777777" w:rsidR="00B90A1E" w:rsidRPr="00015B24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015B2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2E73FEE2" w14:textId="77777777" w:rsidR="00FA2B48" w:rsidRPr="00015B24" w:rsidRDefault="00FA2B48" w:rsidP="00FA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bookmarkStart w:id="18" w:name="_Hlk75182539"/>
      <w:r w:rsidRPr="00015B24">
        <w:rPr>
          <w:rFonts w:ascii="Times New Roman" w:eastAsia="Microsoft Sans Serif" w:hAnsi="Times New Roman"/>
          <w:sz w:val="24"/>
          <w:szCs w:val="24"/>
          <w:lang w:eastAsia="ru-RU" w:bidi="ru-RU"/>
        </w:rPr>
        <w:t>По 30 таблеток помещают в полиэтиленовый контейнер высокой плотности.</w:t>
      </w:r>
    </w:p>
    <w:p w14:paraId="33060031" w14:textId="77777777" w:rsidR="00FA2B48" w:rsidRPr="00015B24" w:rsidRDefault="00FA2B48" w:rsidP="00FA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015B24">
        <w:rPr>
          <w:rFonts w:ascii="Times New Roman" w:eastAsia="Microsoft Sans Serif" w:hAnsi="Times New Roman"/>
          <w:sz w:val="24"/>
          <w:szCs w:val="24"/>
          <w:lang w:eastAsia="ru-RU" w:bidi="ru-RU"/>
        </w:rPr>
        <w:t>На контейнер прикрепляют этикетку самоклеющуюся.</w:t>
      </w:r>
    </w:p>
    <w:p w14:paraId="08421459" w14:textId="77777777" w:rsidR="00FA2B48" w:rsidRPr="00015B24" w:rsidRDefault="00FA2B48" w:rsidP="00FA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015B24">
        <w:rPr>
          <w:rFonts w:ascii="Times New Roman" w:eastAsia="Microsoft Sans Serif" w:hAnsi="Times New Roman"/>
          <w:sz w:val="24"/>
          <w:szCs w:val="24"/>
          <w:lang w:eastAsia="ru-RU" w:bidi="ru-RU"/>
        </w:rPr>
        <w:t>По 1 контейнеру вместе с инструкцией по медицинскому применению на казахском и русском языках вкладывают в пачку из картона.</w:t>
      </w:r>
    </w:p>
    <w:p w14:paraId="6A1344D0" w14:textId="77777777" w:rsidR="00DD2623" w:rsidRPr="00015B24" w:rsidRDefault="00DD2623" w:rsidP="00FA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</w:p>
    <w:bookmarkEnd w:id="18"/>
    <w:p w14:paraId="0043DF65" w14:textId="77777777" w:rsidR="00B90A1E" w:rsidRPr="00015B24" w:rsidRDefault="00B90A1E" w:rsidP="00FA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15B24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015B24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46DDD486" w14:textId="77777777" w:rsidR="004C6613" w:rsidRPr="00015B24" w:rsidRDefault="0019522C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5B24">
        <w:rPr>
          <w:rFonts w:ascii="Times New Roman" w:hAnsi="Times New Roman"/>
          <w:sz w:val="24"/>
          <w:szCs w:val="24"/>
        </w:rPr>
        <w:t>Утилизировать в соответствии с требованиями.</w:t>
      </w:r>
    </w:p>
    <w:p w14:paraId="472EE050" w14:textId="77777777" w:rsidR="00DD2623" w:rsidRPr="00015B24" w:rsidRDefault="00DD262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6037CC" w14:textId="77777777" w:rsidR="00724DB0" w:rsidRPr="00015B24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15B24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015B24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015B24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015B24">
        <w:rPr>
          <w:rFonts w:ascii="Times New Roman" w:hAnsi="Times New Roman"/>
          <w:b/>
          <w:bCs/>
          <w:sz w:val="24"/>
          <w:szCs w:val="24"/>
        </w:rPr>
        <w:t>а</w:t>
      </w:r>
      <w:r w:rsidRPr="00015B24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015B2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2498C0A" w14:textId="77777777" w:rsidR="004200EA" w:rsidRPr="00015B24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15B24">
        <w:rPr>
          <w:rFonts w:ascii="Times New Roman" w:hAnsi="Times New Roman"/>
          <w:bCs/>
          <w:sz w:val="24"/>
          <w:szCs w:val="24"/>
        </w:rPr>
        <w:t>По рецепту</w:t>
      </w:r>
    </w:p>
    <w:p w14:paraId="1A8E2A16" w14:textId="77777777" w:rsidR="00D041C3" w:rsidRPr="00015B24" w:rsidRDefault="00D041C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F14849" w14:textId="77777777" w:rsidR="00120934" w:rsidRPr="00015B24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015B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756EFE7E" w14:textId="77777777" w:rsidR="00215CBB" w:rsidRPr="00015B24" w:rsidRDefault="0019522C" w:rsidP="0078568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bookmarkStart w:id="19" w:name="_Hlk75182578"/>
      <w:r w:rsidRPr="00015B24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Optimus</w:t>
      </w:r>
      <w:r w:rsidRPr="00015B24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015B24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Pharma</w:t>
      </w:r>
      <w:r w:rsidRPr="00015B24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015B24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Private</w:t>
      </w:r>
      <w:r w:rsidRPr="00015B24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015B24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Limited</w:t>
      </w:r>
      <w:r w:rsidRPr="00015B24">
        <w:rPr>
          <w:rFonts w:ascii="Times New Roman" w:eastAsia="Microsoft Sans Serif" w:hAnsi="Times New Roman"/>
          <w:sz w:val="24"/>
          <w:szCs w:val="24"/>
          <w:lang w:eastAsia="ru-RU" w:bidi="ru-RU"/>
        </w:rPr>
        <w:t>,</w:t>
      </w:r>
      <w:r w:rsidR="00FA2B48" w:rsidRPr="00015B24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Индия</w:t>
      </w:r>
    </w:p>
    <w:p w14:paraId="3E263025" w14:textId="77777777" w:rsidR="0019522C" w:rsidRPr="00015B24" w:rsidRDefault="00FA2B48" w:rsidP="00FA2B4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Plot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No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.: 73/B, 73/B/2, EPIP,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Pashamylaram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Village</w:t>
      </w:r>
      <w:proofErr w:type="spellEnd"/>
      <w:r w:rsidR="00E265E2"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/</w:t>
      </w:r>
      <w:proofErr w:type="spellStart"/>
      <w:r w:rsidR="00E265E2"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Пашамыларам</w:t>
      </w:r>
      <w:proofErr w:type="spellEnd"/>
      <w:r w:rsidR="00E265E2"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="00E265E2"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Виллидж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,</w:t>
      </w:r>
      <w:r w:rsidR="00E265E2"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Patancheru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Mandal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,</w:t>
      </w:r>
      <w:r w:rsidR="00E265E2"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Sangareddy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District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- 502307,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Telangana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State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,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Индия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</w:t>
      </w:r>
    </w:p>
    <w:p w14:paraId="5A11C565" w14:textId="77777777" w:rsidR="00FA2B48" w:rsidRPr="00015B24" w:rsidRDefault="00FA2B48" w:rsidP="00FA2B4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Тел. +914033889898</w:t>
      </w:r>
      <w:r w:rsidRPr="00015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электронный</w:t>
      </w:r>
      <w:proofErr w:type="spellEnd"/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адрес </w:t>
      </w:r>
      <w:hyperlink r:id="rId8" w:history="1">
        <w:r w:rsidRPr="00015B24">
          <w:rPr>
            <w:rStyle w:val="af"/>
            <w:rFonts w:ascii="Times New Roman" w:eastAsia="Times New Roman" w:hAnsi="Times New Roman"/>
            <w:bCs/>
            <w:sz w:val="24"/>
            <w:szCs w:val="24"/>
            <w:lang w:val="uk-UA" w:eastAsia="ru-RU"/>
          </w:rPr>
          <w:t>info@optimuspharma.com</w:t>
        </w:r>
      </w:hyperlink>
    </w:p>
    <w:bookmarkEnd w:id="19"/>
    <w:p w14:paraId="76CE983E" w14:textId="77777777" w:rsidR="00FA2B48" w:rsidRPr="00015B24" w:rsidRDefault="00FA2B48" w:rsidP="00FA2B4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6EB37995" w14:textId="77777777" w:rsidR="00593F7B" w:rsidRPr="00015B24" w:rsidRDefault="00593F7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7.1. ПРЕДСТАВИТЕЛЬ ДЕРЖАТЕЛЯ РЕГИСТРАЦИОННОГО УДОСТОВЕРЕНИЯ</w:t>
      </w:r>
    </w:p>
    <w:p w14:paraId="764C3B18" w14:textId="77777777" w:rsidR="004B579E" w:rsidRPr="00015B24" w:rsidRDefault="004B579E" w:rsidP="004B579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5B24">
        <w:rPr>
          <w:rFonts w:ascii="Times New Roman" w:hAnsi="Times New Roman"/>
          <w:bCs/>
          <w:iCs/>
          <w:sz w:val="24"/>
          <w:szCs w:val="24"/>
        </w:rPr>
        <w:t>Претензии потребителей направлять по адресу:</w:t>
      </w:r>
    </w:p>
    <w:p w14:paraId="6583EC32" w14:textId="77777777" w:rsidR="004B579E" w:rsidRPr="00015B24" w:rsidRDefault="004B579E" w:rsidP="004B579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5B24">
        <w:rPr>
          <w:rFonts w:ascii="Times New Roman" w:hAnsi="Times New Roman"/>
          <w:bCs/>
          <w:iCs/>
          <w:sz w:val="24"/>
          <w:szCs w:val="24"/>
        </w:rPr>
        <w:t>Казахстан</w:t>
      </w:r>
    </w:p>
    <w:p w14:paraId="11092A56" w14:textId="77777777" w:rsidR="004B579E" w:rsidRPr="00015B24" w:rsidRDefault="004B579E" w:rsidP="004B579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5B24">
        <w:rPr>
          <w:rFonts w:ascii="Times New Roman" w:hAnsi="Times New Roman"/>
          <w:bCs/>
          <w:iCs/>
          <w:sz w:val="24"/>
          <w:szCs w:val="24"/>
        </w:rPr>
        <w:t xml:space="preserve">ТОО </w:t>
      </w:r>
      <w:r w:rsidR="00B55B03" w:rsidRPr="00015B24">
        <w:rPr>
          <w:rFonts w:ascii="Times New Roman" w:hAnsi="Times New Roman"/>
          <w:bCs/>
          <w:iCs/>
          <w:sz w:val="24"/>
          <w:szCs w:val="24"/>
        </w:rPr>
        <w:t>«</w:t>
      </w:r>
      <w:r w:rsidRPr="00015B24">
        <w:rPr>
          <w:rFonts w:ascii="Times New Roman" w:hAnsi="Times New Roman"/>
          <w:bCs/>
          <w:iCs/>
          <w:sz w:val="24"/>
          <w:szCs w:val="24"/>
          <w:lang w:val="en-US"/>
        </w:rPr>
        <w:t>Rogers</w:t>
      </w:r>
      <w:r w:rsidRPr="00015B2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015B24">
        <w:rPr>
          <w:rFonts w:ascii="Times New Roman" w:hAnsi="Times New Roman"/>
          <w:bCs/>
          <w:iCs/>
          <w:sz w:val="24"/>
          <w:szCs w:val="24"/>
          <w:lang w:val="en-US"/>
        </w:rPr>
        <w:t>Pharma</w:t>
      </w:r>
      <w:r w:rsidR="00B55B03" w:rsidRPr="00015B24">
        <w:rPr>
          <w:rFonts w:ascii="Times New Roman" w:hAnsi="Times New Roman"/>
          <w:bCs/>
          <w:iCs/>
          <w:sz w:val="24"/>
          <w:szCs w:val="24"/>
        </w:rPr>
        <w:t>»</w:t>
      </w:r>
    </w:p>
    <w:p w14:paraId="27A9D57F" w14:textId="77777777" w:rsidR="004B579E" w:rsidRPr="00015B24" w:rsidRDefault="004B579E" w:rsidP="004B579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5B24">
        <w:rPr>
          <w:rFonts w:ascii="Times New Roman" w:hAnsi="Times New Roman"/>
          <w:bCs/>
          <w:iCs/>
          <w:sz w:val="24"/>
          <w:szCs w:val="24"/>
        </w:rPr>
        <w:t xml:space="preserve">050043, г. Алматы, мкн. </w:t>
      </w:r>
      <w:proofErr w:type="spellStart"/>
      <w:r w:rsidRPr="00015B24">
        <w:rPr>
          <w:rFonts w:ascii="Times New Roman" w:hAnsi="Times New Roman"/>
          <w:bCs/>
          <w:iCs/>
          <w:sz w:val="24"/>
          <w:szCs w:val="24"/>
        </w:rPr>
        <w:t>Мирас</w:t>
      </w:r>
      <w:proofErr w:type="spellEnd"/>
      <w:r w:rsidRPr="00015B24">
        <w:rPr>
          <w:rFonts w:ascii="Times New Roman" w:hAnsi="Times New Roman"/>
          <w:bCs/>
          <w:iCs/>
          <w:sz w:val="24"/>
          <w:szCs w:val="24"/>
        </w:rPr>
        <w:t xml:space="preserve">, 157, блок 2, </w:t>
      </w:r>
      <w:proofErr w:type="spellStart"/>
      <w:r w:rsidRPr="00015B24">
        <w:rPr>
          <w:rFonts w:ascii="Times New Roman" w:hAnsi="Times New Roman"/>
          <w:bCs/>
          <w:iCs/>
          <w:sz w:val="24"/>
          <w:szCs w:val="24"/>
        </w:rPr>
        <w:t>н.п</w:t>
      </w:r>
      <w:proofErr w:type="spellEnd"/>
      <w:r w:rsidRPr="00015B24">
        <w:rPr>
          <w:rFonts w:ascii="Times New Roman" w:hAnsi="Times New Roman"/>
          <w:bCs/>
          <w:iCs/>
          <w:sz w:val="24"/>
          <w:szCs w:val="24"/>
        </w:rPr>
        <w:t xml:space="preserve">. 819, </w:t>
      </w:r>
    </w:p>
    <w:p w14:paraId="39704214" w14:textId="77777777" w:rsidR="004B579E" w:rsidRPr="00015B24" w:rsidRDefault="004B579E" w:rsidP="004B579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5B24">
        <w:rPr>
          <w:rFonts w:ascii="Times New Roman" w:hAnsi="Times New Roman"/>
          <w:bCs/>
          <w:iCs/>
          <w:sz w:val="24"/>
          <w:szCs w:val="24"/>
        </w:rPr>
        <w:t>Тел.: +7 (727) 311</w:t>
      </w:r>
      <w:r w:rsidR="00DD2623" w:rsidRPr="00015B24">
        <w:rPr>
          <w:rFonts w:ascii="Times New Roman" w:hAnsi="Times New Roman"/>
          <w:bCs/>
          <w:iCs/>
          <w:sz w:val="24"/>
          <w:szCs w:val="24"/>
          <w:lang w:val="kk-KZ"/>
        </w:rPr>
        <w:t>-</w:t>
      </w:r>
      <w:r w:rsidRPr="00015B24">
        <w:rPr>
          <w:rFonts w:ascii="Times New Roman" w:hAnsi="Times New Roman"/>
          <w:bCs/>
          <w:iCs/>
          <w:sz w:val="24"/>
          <w:szCs w:val="24"/>
        </w:rPr>
        <w:t>81</w:t>
      </w:r>
      <w:r w:rsidR="00DD2623" w:rsidRPr="00015B24">
        <w:rPr>
          <w:rFonts w:ascii="Times New Roman" w:hAnsi="Times New Roman"/>
          <w:bCs/>
          <w:iCs/>
          <w:sz w:val="24"/>
          <w:szCs w:val="24"/>
          <w:lang w:val="kk-KZ"/>
        </w:rPr>
        <w:t>-</w:t>
      </w:r>
      <w:r w:rsidRPr="00015B24">
        <w:rPr>
          <w:rFonts w:ascii="Times New Roman" w:hAnsi="Times New Roman"/>
          <w:bCs/>
          <w:iCs/>
          <w:sz w:val="24"/>
          <w:szCs w:val="24"/>
        </w:rPr>
        <w:t xml:space="preserve">96/97, </w:t>
      </w:r>
      <w:proofErr w:type="spellStart"/>
      <w:r w:rsidR="006065A3"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электронный</w:t>
      </w:r>
      <w:proofErr w:type="spellEnd"/>
      <w:r w:rsidR="006065A3"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адрес</w:t>
      </w:r>
      <w:r w:rsidRPr="00015B24">
        <w:rPr>
          <w:rFonts w:ascii="Times New Roman" w:hAnsi="Times New Roman"/>
          <w:bCs/>
          <w:iCs/>
          <w:sz w:val="24"/>
          <w:szCs w:val="24"/>
        </w:rPr>
        <w:t xml:space="preserve">: </w:t>
      </w:r>
      <w:hyperlink r:id="rId9" w:history="1">
        <w:r w:rsidR="00DD2623" w:rsidRPr="00015B24">
          <w:rPr>
            <w:rStyle w:val="af"/>
            <w:rFonts w:ascii="Times New Roman" w:hAnsi="Times New Roman"/>
            <w:bCs/>
            <w:iCs/>
            <w:sz w:val="24"/>
            <w:szCs w:val="24"/>
            <w:lang w:val="en-US"/>
          </w:rPr>
          <w:t>office</w:t>
        </w:r>
        <w:r w:rsidR="00DD2623" w:rsidRPr="00015B24">
          <w:rPr>
            <w:rStyle w:val="af"/>
            <w:rFonts w:ascii="Times New Roman" w:hAnsi="Times New Roman"/>
            <w:bCs/>
            <w:iCs/>
            <w:sz w:val="24"/>
            <w:szCs w:val="24"/>
          </w:rPr>
          <w:t>.</w:t>
        </w:r>
        <w:r w:rsidR="00DD2623" w:rsidRPr="00015B24">
          <w:rPr>
            <w:rStyle w:val="af"/>
            <w:rFonts w:ascii="Times New Roman" w:hAnsi="Times New Roman"/>
            <w:bCs/>
            <w:iCs/>
            <w:sz w:val="24"/>
            <w:szCs w:val="24"/>
            <w:lang w:val="en-US"/>
          </w:rPr>
          <w:t>secretary</w:t>
        </w:r>
        <w:r w:rsidR="00DD2623" w:rsidRPr="00015B24">
          <w:rPr>
            <w:rStyle w:val="af"/>
            <w:rFonts w:ascii="Times New Roman" w:hAnsi="Times New Roman"/>
            <w:bCs/>
            <w:iCs/>
            <w:sz w:val="24"/>
            <w:szCs w:val="24"/>
          </w:rPr>
          <w:t>@</w:t>
        </w:r>
        <w:proofErr w:type="spellStart"/>
        <w:r w:rsidR="00DD2623" w:rsidRPr="00015B24">
          <w:rPr>
            <w:rStyle w:val="af"/>
            <w:rFonts w:ascii="Times New Roman" w:hAnsi="Times New Roman"/>
            <w:bCs/>
            <w:iCs/>
            <w:sz w:val="24"/>
            <w:szCs w:val="24"/>
            <w:lang w:val="en-US"/>
          </w:rPr>
          <w:t>rogersgroup</w:t>
        </w:r>
        <w:proofErr w:type="spellEnd"/>
        <w:r w:rsidR="00DD2623" w:rsidRPr="00015B24">
          <w:rPr>
            <w:rStyle w:val="af"/>
            <w:rFonts w:ascii="Times New Roman" w:hAnsi="Times New Roman"/>
            <w:bCs/>
            <w:iCs/>
            <w:sz w:val="24"/>
            <w:szCs w:val="24"/>
          </w:rPr>
          <w:t>.</w:t>
        </w:r>
        <w:r w:rsidR="00DD2623" w:rsidRPr="00015B24">
          <w:rPr>
            <w:rStyle w:val="af"/>
            <w:rFonts w:ascii="Times New Roman" w:hAnsi="Times New Roman"/>
            <w:bCs/>
            <w:iCs/>
            <w:sz w:val="24"/>
            <w:szCs w:val="24"/>
            <w:lang w:val="en-US"/>
          </w:rPr>
          <w:t>in</w:t>
        </w:r>
      </w:hyperlink>
    </w:p>
    <w:p w14:paraId="22A3C40C" w14:textId="77777777" w:rsidR="00DD2623" w:rsidRPr="00015B24" w:rsidRDefault="00DD2623" w:rsidP="004B579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FA4BE79" w14:textId="77777777" w:rsidR="002511DF" w:rsidRPr="00015B24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6E2C180C" w14:textId="77777777" w:rsidR="005B7709" w:rsidRPr="00015B24" w:rsidRDefault="005B7709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РК-ЛС-5№025843 (5 мг)</w:t>
      </w:r>
    </w:p>
    <w:p w14:paraId="2CA37A5F" w14:textId="77777777" w:rsidR="00215CBB" w:rsidRPr="00015B24" w:rsidRDefault="005B7709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015B2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РК-ЛС-5№025842 (10 мг)</w:t>
      </w:r>
    </w:p>
    <w:p w14:paraId="169A6BA7" w14:textId="77777777" w:rsidR="005B7709" w:rsidRPr="00015B24" w:rsidRDefault="005B7709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3D2090AD" w14:textId="77777777" w:rsidR="00DD2623" w:rsidRPr="00015B24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15B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14:paraId="255B20BB" w14:textId="77777777" w:rsidR="00B91443" w:rsidRPr="00015B24" w:rsidRDefault="004C688E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015B24">
        <w:rPr>
          <w:rFonts w:eastAsia="Microsoft Sans Serif"/>
          <w:lang w:bidi="ru-RU"/>
        </w:rPr>
        <w:t xml:space="preserve">Дата первичной регистрации: </w:t>
      </w:r>
      <w:r w:rsidR="005B7709" w:rsidRPr="00015B24">
        <w:rPr>
          <w:rFonts w:eastAsia="Microsoft Sans Serif"/>
          <w:lang w:bidi="ru-RU"/>
        </w:rPr>
        <w:t>27.05.2022</w:t>
      </w:r>
    </w:p>
    <w:p w14:paraId="34035E48" w14:textId="77777777" w:rsidR="005B7709" w:rsidRPr="00015B24" w:rsidRDefault="005B7709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0044BA6A" w14:textId="77777777" w:rsidR="00DF47EB" w:rsidRPr="00015B24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015B24">
        <w:rPr>
          <w:rFonts w:ascii="Times New Roman" w:hAnsi="Times New Roman"/>
          <w:b/>
          <w:sz w:val="24"/>
          <w:szCs w:val="24"/>
        </w:rPr>
        <w:t xml:space="preserve">10. </w:t>
      </w:r>
      <w:r w:rsidRPr="00015B24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67B02835" w14:textId="77777777" w:rsidR="004B579E" w:rsidRPr="00015B24" w:rsidRDefault="004B579E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6C035FD4" w14:textId="77777777" w:rsidR="00B91443" w:rsidRPr="00015B24" w:rsidRDefault="00B91443" w:rsidP="00724DB0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015B24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0" w:history="1">
        <w:r w:rsidRPr="00015B24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015B24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015B24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015B24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015B24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015B24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015B24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015B24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015B24" w:rsidSect="00015B24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578D9" w14:textId="77777777" w:rsidR="00B509CF" w:rsidRDefault="00B509CF" w:rsidP="00D275FC">
      <w:pPr>
        <w:spacing w:after="0" w:line="240" w:lineRule="auto"/>
      </w:pPr>
      <w:r>
        <w:separator/>
      </w:r>
    </w:p>
  </w:endnote>
  <w:endnote w:type="continuationSeparator" w:id="0">
    <w:p w14:paraId="7979EAA9" w14:textId="77777777" w:rsidR="00B509CF" w:rsidRDefault="00B509CF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28BB" w14:textId="77777777" w:rsidR="00B509CF" w:rsidRDefault="00B509CF" w:rsidP="00D275FC">
      <w:pPr>
        <w:spacing w:after="0" w:line="240" w:lineRule="auto"/>
      </w:pPr>
      <w:r>
        <w:separator/>
      </w:r>
    </w:p>
  </w:footnote>
  <w:footnote w:type="continuationSeparator" w:id="0">
    <w:p w14:paraId="33E761C4" w14:textId="77777777" w:rsidR="00B509CF" w:rsidRDefault="00B509CF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B34A" w14:textId="77777777" w:rsidR="00D275FC" w:rsidRDefault="004C568C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A783E8" wp14:editId="037C20AB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FDFB3D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A783E8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4BFDFB3D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Description: BT_1000x858px" style="width:15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05E31"/>
    <w:rsid w:val="00010371"/>
    <w:rsid w:val="00012A9F"/>
    <w:rsid w:val="00015B24"/>
    <w:rsid w:val="00016909"/>
    <w:rsid w:val="0002049D"/>
    <w:rsid w:val="00021929"/>
    <w:rsid w:val="000264BB"/>
    <w:rsid w:val="00026A9C"/>
    <w:rsid w:val="00033FC1"/>
    <w:rsid w:val="00042999"/>
    <w:rsid w:val="0005238D"/>
    <w:rsid w:val="00057514"/>
    <w:rsid w:val="0006079B"/>
    <w:rsid w:val="000704A4"/>
    <w:rsid w:val="00071CE0"/>
    <w:rsid w:val="000803B4"/>
    <w:rsid w:val="000852A1"/>
    <w:rsid w:val="000972E6"/>
    <w:rsid w:val="000A0D71"/>
    <w:rsid w:val="000A15B0"/>
    <w:rsid w:val="000A272B"/>
    <w:rsid w:val="000C2C4B"/>
    <w:rsid w:val="000C3EBE"/>
    <w:rsid w:val="000C4C48"/>
    <w:rsid w:val="000D184E"/>
    <w:rsid w:val="000D4192"/>
    <w:rsid w:val="000D423C"/>
    <w:rsid w:val="000D457D"/>
    <w:rsid w:val="000D555B"/>
    <w:rsid w:val="000E01AB"/>
    <w:rsid w:val="000E153C"/>
    <w:rsid w:val="000E3634"/>
    <w:rsid w:val="000E369B"/>
    <w:rsid w:val="000E49F0"/>
    <w:rsid w:val="000E6126"/>
    <w:rsid w:val="000F383F"/>
    <w:rsid w:val="000F57FF"/>
    <w:rsid w:val="00100406"/>
    <w:rsid w:val="00107A8A"/>
    <w:rsid w:val="00111788"/>
    <w:rsid w:val="00120934"/>
    <w:rsid w:val="00123DB5"/>
    <w:rsid w:val="00125232"/>
    <w:rsid w:val="00132B9A"/>
    <w:rsid w:val="00136115"/>
    <w:rsid w:val="001368AE"/>
    <w:rsid w:val="00144CCD"/>
    <w:rsid w:val="0014699B"/>
    <w:rsid w:val="0014739A"/>
    <w:rsid w:val="0015490C"/>
    <w:rsid w:val="001573E2"/>
    <w:rsid w:val="0016278D"/>
    <w:rsid w:val="00164E5D"/>
    <w:rsid w:val="001872CE"/>
    <w:rsid w:val="001937AD"/>
    <w:rsid w:val="0019522C"/>
    <w:rsid w:val="001A2CB2"/>
    <w:rsid w:val="001A3A84"/>
    <w:rsid w:val="001B6AEC"/>
    <w:rsid w:val="001D01DD"/>
    <w:rsid w:val="001D0B84"/>
    <w:rsid w:val="001E20D8"/>
    <w:rsid w:val="001E5E2A"/>
    <w:rsid w:val="001E6F4C"/>
    <w:rsid w:val="001F16AA"/>
    <w:rsid w:val="00200F3B"/>
    <w:rsid w:val="00203355"/>
    <w:rsid w:val="0020414E"/>
    <w:rsid w:val="00211005"/>
    <w:rsid w:val="0021309A"/>
    <w:rsid w:val="00213226"/>
    <w:rsid w:val="00215CBB"/>
    <w:rsid w:val="00217D41"/>
    <w:rsid w:val="002222A9"/>
    <w:rsid w:val="00222CA6"/>
    <w:rsid w:val="00223CF4"/>
    <w:rsid w:val="0022629F"/>
    <w:rsid w:val="00232642"/>
    <w:rsid w:val="00237697"/>
    <w:rsid w:val="002410EA"/>
    <w:rsid w:val="00243A1B"/>
    <w:rsid w:val="00250EDB"/>
    <w:rsid w:val="002511DF"/>
    <w:rsid w:val="00253209"/>
    <w:rsid w:val="00256E10"/>
    <w:rsid w:val="00260413"/>
    <w:rsid w:val="00260EBC"/>
    <w:rsid w:val="00264710"/>
    <w:rsid w:val="00264A6E"/>
    <w:rsid w:val="00264B06"/>
    <w:rsid w:val="00267567"/>
    <w:rsid w:val="00267F7C"/>
    <w:rsid w:val="00270B0A"/>
    <w:rsid w:val="00273FBD"/>
    <w:rsid w:val="00280121"/>
    <w:rsid w:val="00281FBE"/>
    <w:rsid w:val="00290D2E"/>
    <w:rsid w:val="00292715"/>
    <w:rsid w:val="002A2E96"/>
    <w:rsid w:val="002A591C"/>
    <w:rsid w:val="002B3670"/>
    <w:rsid w:val="002C10E1"/>
    <w:rsid w:val="002C15EB"/>
    <w:rsid w:val="002C1660"/>
    <w:rsid w:val="002C35A2"/>
    <w:rsid w:val="002C5345"/>
    <w:rsid w:val="002D28E1"/>
    <w:rsid w:val="002D56B7"/>
    <w:rsid w:val="002E04B7"/>
    <w:rsid w:val="002E0BAD"/>
    <w:rsid w:val="002E3AF6"/>
    <w:rsid w:val="002E7E15"/>
    <w:rsid w:val="002F111E"/>
    <w:rsid w:val="002F4A14"/>
    <w:rsid w:val="002F7EF1"/>
    <w:rsid w:val="003043BF"/>
    <w:rsid w:val="00320073"/>
    <w:rsid w:val="003262DF"/>
    <w:rsid w:val="00332951"/>
    <w:rsid w:val="00341ACC"/>
    <w:rsid w:val="00346528"/>
    <w:rsid w:val="0034682B"/>
    <w:rsid w:val="00356237"/>
    <w:rsid w:val="00360689"/>
    <w:rsid w:val="003610BF"/>
    <w:rsid w:val="0036288F"/>
    <w:rsid w:val="00365B10"/>
    <w:rsid w:val="00367BA7"/>
    <w:rsid w:val="00372082"/>
    <w:rsid w:val="00374597"/>
    <w:rsid w:val="003761C0"/>
    <w:rsid w:val="00381140"/>
    <w:rsid w:val="003812B2"/>
    <w:rsid w:val="00383CDB"/>
    <w:rsid w:val="00384EFD"/>
    <w:rsid w:val="0038595A"/>
    <w:rsid w:val="003879F9"/>
    <w:rsid w:val="003976C7"/>
    <w:rsid w:val="003A035E"/>
    <w:rsid w:val="003A577F"/>
    <w:rsid w:val="003B0285"/>
    <w:rsid w:val="003C07E3"/>
    <w:rsid w:val="003C0DCB"/>
    <w:rsid w:val="003C659E"/>
    <w:rsid w:val="003D7780"/>
    <w:rsid w:val="003E13CF"/>
    <w:rsid w:val="003E4F5E"/>
    <w:rsid w:val="003F3E6B"/>
    <w:rsid w:val="003F5344"/>
    <w:rsid w:val="003F7EDC"/>
    <w:rsid w:val="00404548"/>
    <w:rsid w:val="0041162E"/>
    <w:rsid w:val="004125D8"/>
    <w:rsid w:val="00416507"/>
    <w:rsid w:val="004200EA"/>
    <w:rsid w:val="0042780C"/>
    <w:rsid w:val="0042786D"/>
    <w:rsid w:val="00431DFC"/>
    <w:rsid w:val="00433C62"/>
    <w:rsid w:val="00440E84"/>
    <w:rsid w:val="00451369"/>
    <w:rsid w:val="004528E1"/>
    <w:rsid w:val="00454912"/>
    <w:rsid w:val="00456F01"/>
    <w:rsid w:val="0046049C"/>
    <w:rsid w:val="00472C68"/>
    <w:rsid w:val="00472EF5"/>
    <w:rsid w:val="004775E7"/>
    <w:rsid w:val="00485BF7"/>
    <w:rsid w:val="0048687C"/>
    <w:rsid w:val="0049318D"/>
    <w:rsid w:val="0049520F"/>
    <w:rsid w:val="00495B55"/>
    <w:rsid w:val="004A31B4"/>
    <w:rsid w:val="004A7038"/>
    <w:rsid w:val="004B579E"/>
    <w:rsid w:val="004B72F5"/>
    <w:rsid w:val="004C1922"/>
    <w:rsid w:val="004C462F"/>
    <w:rsid w:val="004C568C"/>
    <w:rsid w:val="004C6349"/>
    <w:rsid w:val="004C6613"/>
    <w:rsid w:val="004C688E"/>
    <w:rsid w:val="004D49E9"/>
    <w:rsid w:val="004E0462"/>
    <w:rsid w:val="004E3CFC"/>
    <w:rsid w:val="004F45AC"/>
    <w:rsid w:val="00501657"/>
    <w:rsid w:val="00506C9D"/>
    <w:rsid w:val="005071DA"/>
    <w:rsid w:val="00523D82"/>
    <w:rsid w:val="00526536"/>
    <w:rsid w:val="00541A00"/>
    <w:rsid w:val="005444B2"/>
    <w:rsid w:val="005454A0"/>
    <w:rsid w:val="00552F31"/>
    <w:rsid w:val="00552F8B"/>
    <w:rsid w:val="00561FE7"/>
    <w:rsid w:val="00566737"/>
    <w:rsid w:val="005670CD"/>
    <w:rsid w:val="00567153"/>
    <w:rsid w:val="00575348"/>
    <w:rsid w:val="005869C5"/>
    <w:rsid w:val="005921EA"/>
    <w:rsid w:val="005924F5"/>
    <w:rsid w:val="00593F7B"/>
    <w:rsid w:val="00596759"/>
    <w:rsid w:val="005A3C81"/>
    <w:rsid w:val="005A5680"/>
    <w:rsid w:val="005A6639"/>
    <w:rsid w:val="005A6914"/>
    <w:rsid w:val="005B1AE1"/>
    <w:rsid w:val="005B3FFE"/>
    <w:rsid w:val="005B6B06"/>
    <w:rsid w:val="005B7709"/>
    <w:rsid w:val="005C1519"/>
    <w:rsid w:val="005C1C4E"/>
    <w:rsid w:val="005C27DA"/>
    <w:rsid w:val="005C4994"/>
    <w:rsid w:val="005C4A16"/>
    <w:rsid w:val="005D66F3"/>
    <w:rsid w:val="005D68C6"/>
    <w:rsid w:val="005D7EE3"/>
    <w:rsid w:val="005E50DE"/>
    <w:rsid w:val="005E6FCB"/>
    <w:rsid w:val="005E7569"/>
    <w:rsid w:val="005E76DA"/>
    <w:rsid w:val="005F1B0E"/>
    <w:rsid w:val="005F7097"/>
    <w:rsid w:val="0060364A"/>
    <w:rsid w:val="00604FC8"/>
    <w:rsid w:val="006065A3"/>
    <w:rsid w:val="00611498"/>
    <w:rsid w:val="00617843"/>
    <w:rsid w:val="00620F34"/>
    <w:rsid w:val="00624C1B"/>
    <w:rsid w:val="00625471"/>
    <w:rsid w:val="0062661D"/>
    <w:rsid w:val="00627853"/>
    <w:rsid w:val="00632571"/>
    <w:rsid w:val="00634D0C"/>
    <w:rsid w:val="006504BF"/>
    <w:rsid w:val="0065148D"/>
    <w:rsid w:val="00652BCE"/>
    <w:rsid w:val="00652E29"/>
    <w:rsid w:val="00653617"/>
    <w:rsid w:val="00660DDD"/>
    <w:rsid w:val="0066506F"/>
    <w:rsid w:val="0067136B"/>
    <w:rsid w:val="00691208"/>
    <w:rsid w:val="006947E6"/>
    <w:rsid w:val="00696E41"/>
    <w:rsid w:val="006972AB"/>
    <w:rsid w:val="006A23C4"/>
    <w:rsid w:val="006A702E"/>
    <w:rsid w:val="006B1606"/>
    <w:rsid w:val="006B1751"/>
    <w:rsid w:val="006B7A90"/>
    <w:rsid w:val="006C5F38"/>
    <w:rsid w:val="006D5986"/>
    <w:rsid w:val="006D7D5A"/>
    <w:rsid w:val="006E335A"/>
    <w:rsid w:val="006E4305"/>
    <w:rsid w:val="006F01AF"/>
    <w:rsid w:val="006F5763"/>
    <w:rsid w:val="006F62A2"/>
    <w:rsid w:val="007016E0"/>
    <w:rsid w:val="00704BAB"/>
    <w:rsid w:val="007104D1"/>
    <w:rsid w:val="00711CC0"/>
    <w:rsid w:val="007135A6"/>
    <w:rsid w:val="0072480B"/>
    <w:rsid w:val="00724DB0"/>
    <w:rsid w:val="00725BD2"/>
    <w:rsid w:val="00726BD3"/>
    <w:rsid w:val="00730461"/>
    <w:rsid w:val="00733A73"/>
    <w:rsid w:val="00740630"/>
    <w:rsid w:val="00746FF2"/>
    <w:rsid w:val="007479AE"/>
    <w:rsid w:val="00752A15"/>
    <w:rsid w:val="007544F0"/>
    <w:rsid w:val="007577F1"/>
    <w:rsid w:val="00761133"/>
    <w:rsid w:val="00764E84"/>
    <w:rsid w:val="007762F8"/>
    <w:rsid w:val="00783467"/>
    <w:rsid w:val="00783520"/>
    <w:rsid w:val="007852E7"/>
    <w:rsid w:val="0078568D"/>
    <w:rsid w:val="007A02D3"/>
    <w:rsid w:val="007A18B1"/>
    <w:rsid w:val="007A620B"/>
    <w:rsid w:val="007B011E"/>
    <w:rsid w:val="007B3E93"/>
    <w:rsid w:val="007C055A"/>
    <w:rsid w:val="007C1693"/>
    <w:rsid w:val="007D0E84"/>
    <w:rsid w:val="007D681B"/>
    <w:rsid w:val="007D7851"/>
    <w:rsid w:val="007E1D85"/>
    <w:rsid w:val="007E4693"/>
    <w:rsid w:val="007F55EB"/>
    <w:rsid w:val="00801E2C"/>
    <w:rsid w:val="00801EF4"/>
    <w:rsid w:val="008031DC"/>
    <w:rsid w:val="00803517"/>
    <w:rsid w:val="00804A48"/>
    <w:rsid w:val="008106A7"/>
    <w:rsid w:val="0081154A"/>
    <w:rsid w:val="00812265"/>
    <w:rsid w:val="00814DFC"/>
    <w:rsid w:val="00820B36"/>
    <w:rsid w:val="00827BB2"/>
    <w:rsid w:val="008329DA"/>
    <w:rsid w:val="00832A7E"/>
    <w:rsid w:val="008330E7"/>
    <w:rsid w:val="008353A4"/>
    <w:rsid w:val="008407EF"/>
    <w:rsid w:val="008418F5"/>
    <w:rsid w:val="008451C8"/>
    <w:rsid w:val="00847154"/>
    <w:rsid w:val="008532F1"/>
    <w:rsid w:val="00862FA8"/>
    <w:rsid w:val="0086657B"/>
    <w:rsid w:val="0087104B"/>
    <w:rsid w:val="0088181D"/>
    <w:rsid w:val="008832E5"/>
    <w:rsid w:val="0088348E"/>
    <w:rsid w:val="008872AB"/>
    <w:rsid w:val="00891EB8"/>
    <w:rsid w:val="0089401D"/>
    <w:rsid w:val="00895628"/>
    <w:rsid w:val="00897669"/>
    <w:rsid w:val="008A49CE"/>
    <w:rsid w:val="008A62F8"/>
    <w:rsid w:val="008B715E"/>
    <w:rsid w:val="008B745E"/>
    <w:rsid w:val="008C0181"/>
    <w:rsid w:val="008C6434"/>
    <w:rsid w:val="008D0B8D"/>
    <w:rsid w:val="008D4451"/>
    <w:rsid w:val="008D62B7"/>
    <w:rsid w:val="008E0667"/>
    <w:rsid w:val="008E19AE"/>
    <w:rsid w:val="008E6895"/>
    <w:rsid w:val="008F0721"/>
    <w:rsid w:val="008F600D"/>
    <w:rsid w:val="00900B3C"/>
    <w:rsid w:val="00904FB5"/>
    <w:rsid w:val="0091136C"/>
    <w:rsid w:val="009128A3"/>
    <w:rsid w:val="00930D7D"/>
    <w:rsid w:val="0095047E"/>
    <w:rsid w:val="009546F0"/>
    <w:rsid w:val="00956101"/>
    <w:rsid w:val="00957BAF"/>
    <w:rsid w:val="00962CD6"/>
    <w:rsid w:val="00974EE1"/>
    <w:rsid w:val="00980ED0"/>
    <w:rsid w:val="00985916"/>
    <w:rsid w:val="00986783"/>
    <w:rsid w:val="00993A60"/>
    <w:rsid w:val="00996B05"/>
    <w:rsid w:val="009B014E"/>
    <w:rsid w:val="009C2A58"/>
    <w:rsid w:val="009D67EC"/>
    <w:rsid w:val="009D71D5"/>
    <w:rsid w:val="009E2887"/>
    <w:rsid w:val="009E56D6"/>
    <w:rsid w:val="009E5CB9"/>
    <w:rsid w:val="009F07F5"/>
    <w:rsid w:val="009F22EA"/>
    <w:rsid w:val="009F31F2"/>
    <w:rsid w:val="009F45A5"/>
    <w:rsid w:val="009F5A85"/>
    <w:rsid w:val="009F72B0"/>
    <w:rsid w:val="00A00A51"/>
    <w:rsid w:val="00A01C2E"/>
    <w:rsid w:val="00A02BB2"/>
    <w:rsid w:val="00A04052"/>
    <w:rsid w:val="00A0709E"/>
    <w:rsid w:val="00A074C5"/>
    <w:rsid w:val="00A07B7D"/>
    <w:rsid w:val="00A12563"/>
    <w:rsid w:val="00A2498C"/>
    <w:rsid w:val="00A26BB4"/>
    <w:rsid w:val="00A300B9"/>
    <w:rsid w:val="00A31019"/>
    <w:rsid w:val="00A51214"/>
    <w:rsid w:val="00A8360A"/>
    <w:rsid w:val="00A84B26"/>
    <w:rsid w:val="00A84EA1"/>
    <w:rsid w:val="00AA4618"/>
    <w:rsid w:val="00AA5E2F"/>
    <w:rsid w:val="00AA7317"/>
    <w:rsid w:val="00AB5F5C"/>
    <w:rsid w:val="00AC2C0B"/>
    <w:rsid w:val="00AC3900"/>
    <w:rsid w:val="00AC4905"/>
    <w:rsid w:val="00AD58FF"/>
    <w:rsid w:val="00AE257B"/>
    <w:rsid w:val="00AE63BE"/>
    <w:rsid w:val="00AE7922"/>
    <w:rsid w:val="00AF056B"/>
    <w:rsid w:val="00B00814"/>
    <w:rsid w:val="00B01011"/>
    <w:rsid w:val="00B033E6"/>
    <w:rsid w:val="00B05BD1"/>
    <w:rsid w:val="00B10089"/>
    <w:rsid w:val="00B21CF0"/>
    <w:rsid w:val="00B22E50"/>
    <w:rsid w:val="00B23276"/>
    <w:rsid w:val="00B2471D"/>
    <w:rsid w:val="00B27055"/>
    <w:rsid w:val="00B46F30"/>
    <w:rsid w:val="00B5010C"/>
    <w:rsid w:val="00B509CF"/>
    <w:rsid w:val="00B55B03"/>
    <w:rsid w:val="00B608C1"/>
    <w:rsid w:val="00B60D3D"/>
    <w:rsid w:val="00B61D95"/>
    <w:rsid w:val="00B624E6"/>
    <w:rsid w:val="00B7231F"/>
    <w:rsid w:val="00B821A1"/>
    <w:rsid w:val="00B90A1E"/>
    <w:rsid w:val="00B91443"/>
    <w:rsid w:val="00B9187F"/>
    <w:rsid w:val="00BA2BF3"/>
    <w:rsid w:val="00BB111F"/>
    <w:rsid w:val="00BB3050"/>
    <w:rsid w:val="00BB7831"/>
    <w:rsid w:val="00BC31BC"/>
    <w:rsid w:val="00BC6167"/>
    <w:rsid w:val="00BC6A01"/>
    <w:rsid w:val="00BD7CAA"/>
    <w:rsid w:val="00BE198F"/>
    <w:rsid w:val="00BE4435"/>
    <w:rsid w:val="00BE6B71"/>
    <w:rsid w:val="00BF1295"/>
    <w:rsid w:val="00BF6357"/>
    <w:rsid w:val="00C07BB3"/>
    <w:rsid w:val="00C153F2"/>
    <w:rsid w:val="00C2000E"/>
    <w:rsid w:val="00C3435C"/>
    <w:rsid w:val="00C379C9"/>
    <w:rsid w:val="00C37A15"/>
    <w:rsid w:val="00C422B8"/>
    <w:rsid w:val="00C42F5A"/>
    <w:rsid w:val="00C566D6"/>
    <w:rsid w:val="00C71E57"/>
    <w:rsid w:val="00C739EB"/>
    <w:rsid w:val="00C74BC9"/>
    <w:rsid w:val="00C764D9"/>
    <w:rsid w:val="00C77910"/>
    <w:rsid w:val="00C839ED"/>
    <w:rsid w:val="00C84299"/>
    <w:rsid w:val="00C92F14"/>
    <w:rsid w:val="00C94B98"/>
    <w:rsid w:val="00C97365"/>
    <w:rsid w:val="00CA4C1A"/>
    <w:rsid w:val="00CA711B"/>
    <w:rsid w:val="00CB27AE"/>
    <w:rsid w:val="00CC08BA"/>
    <w:rsid w:val="00CC330A"/>
    <w:rsid w:val="00CC5727"/>
    <w:rsid w:val="00CC7DBD"/>
    <w:rsid w:val="00CD6935"/>
    <w:rsid w:val="00CD6AF7"/>
    <w:rsid w:val="00CE03ED"/>
    <w:rsid w:val="00CE7F7F"/>
    <w:rsid w:val="00CF15BC"/>
    <w:rsid w:val="00CF3849"/>
    <w:rsid w:val="00D01ABE"/>
    <w:rsid w:val="00D0233C"/>
    <w:rsid w:val="00D041C3"/>
    <w:rsid w:val="00D047BB"/>
    <w:rsid w:val="00D11462"/>
    <w:rsid w:val="00D14D61"/>
    <w:rsid w:val="00D2149E"/>
    <w:rsid w:val="00D22A47"/>
    <w:rsid w:val="00D25CB4"/>
    <w:rsid w:val="00D275FC"/>
    <w:rsid w:val="00D3050C"/>
    <w:rsid w:val="00D3279D"/>
    <w:rsid w:val="00D3576E"/>
    <w:rsid w:val="00D43297"/>
    <w:rsid w:val="00D46B0B"/>
    <w:rsid w:val="00D510DF"/>
    <w:rsid w:val="00D55ED8"/>
    <w:rsid w:val="00D60C5A"/>
    <w:rsid w:val="00D65134"/>
    <w:rsid w:val="00D66938"/>
    <w:rsid w:val="00D70DB6"/>
    <w:rsid w:val="00D723BC"/>
    <w:rsid w:val="00D73C19"/>
    <w:rsid w:val="00D76048"/>
    <w:rsid w:val="00D84BA5"/>
    <w:rsid w:val="00D85FB6"/>
    <w:rsid w:val="00D93C80"/>
    <w:rsid w:val="00D9686A"/>
    <w:rsid w:val="00D96A8F"/>
    <w:rsid w:val="00DA16F7"/>
    <w:rsid w:val="00DB073D"/>
    <w:rsid w:val="00DB406A"/>
    <w:rsid w:val="00DB7FB0"/>
    <w:rsid w:val="00DD2623"/>
    <w:rsid w:val="00DD354F"/>
    <w:rsid w:val="00DD5E3A"/>
    <w:rsid w:val="00DD6C4F"/>
    <w:rsid w:val="00DE4FC7"/>
    <w:rsid w:val="00DF11A7"/>
    <w:rsid w:val="00DF3381"/>
    <w:rsid w:val="00DF47EB"/>
    <w:rsid w:val="00E1616F"/>
    <w:rsid w:val="00E211ED"/>
    <w:rsid w:val="00E265E2"/>
    <w:rsid w:val="00E271CB"/>
    <w:rsid w:val="00E301D0"/>
    <w:rsid w:val="00E317B2"/>
    <w:rsid w:val="00E33FE3"/>
    <w:rsid w:val="00E34FE3"/>
    <w:rsid w:val="00E37FE7"/>
    <w:rsid w:val="00E5413B"/>
    <w:rsid w:val="00E55D6C"/>
    <w:rsid w:val="00E562FB"/>
    <w:rsid w:val="00E57396"/>
    <w:rsid w:val="00E70583"/>
    <w:rsid w:val="00E75FFF"/>
    <w:rsid w:val="00E81436"/>
    <w:rsid w:val="00E81A1B"/>
    <w:rsid w:val="00E81A86"/>
    <w:rsid w:val="00E833DB"/>
    <w:rsid w:val="00E85A7A"/>
    <w:rsid w:val="00E8607B"/>
    <w:rsid w:val="00E91073"/>
    <w:rsid w:val="00E93583"/>
    <w:rsid w:val="00E93605"/>
    <w:rsid w:val="00EA2F86"/>
    <w:rsid w:val="00EA303C"/>
    <w:rsid w:val="00EA397F"/>
    <w:rsid w:val="00EA6D39"/>
    <w:rsid w:val="00EB1430"/>
    <w:rsid w:val="00EB1D97"/>
    <w:rsid w:val="00EB32A3"/>
    <w:rsid w:val="00EB41C1"/>
    <w:rsid w:val="00EC20A1"/>
    <w:rsid w:val="00EC480E"/>
    <w:rsid w:val="00EC4E42"/>
    <w:rsid w:val="00EE04FB"/>
    <w:rsid w:val="00EF4C53"/>
    <w:rsid w:val="00F006F1"/>
    <w:rsid w:val="00F030FE"/>
    <w:rsid w:val="00F04CF4"/>
    <w:rsid w:val="00F05540"/>
    <w:rsid w:val="00F07B7B"/>
    <w:rsid w:val="00F131F1"/>
    <w:rsid w:val="00F15EBA"/>
    <w:rsid w:val="00F23B95"/>
    <w:rsid w:val="00F3427A"/>
    <w:rsid w:val="00F34699"/>
    <w:rsid w:val="00F34F83"/>
    <w:rsid w:val="00F40388"/>
    <w:rsid w:val="00F42D3C"/>
    <w:rsid w:val="00F56F75"/>
    <w:rsid w:val="00F6012B"/>
    <w:rsid w:val="00F63389"/>
    <w:rsid w:val="00F665E0"/>
    <w:rsid w:val="00F746BE"/>
    <w:rsid w:val="00F7521B"/>
    <w:rsid w:val="00F80F5B"/>
    <w:rsid w:val="00F91977"/>
    <w:rsid w:val="00F97B57"/>
    <w:rsid w:val="00FA2B48"/>
    <w:rsid w:val="00FA4F7C"/>
    <w:rsid w:val="00FB0456"/>
    <w:rsid w:val="00FB47F4"/>
    <w:rsid w:val="00FC17F4"/>
    <w:rsid w:val="00FD2B12"/>
    <w:rsid w:val="00FD2B9F"/>
    <w:rsid w:val="00FD6FA9"/>
    <w:rsid w:val="00FF5DC0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08D40"/>
  <w15:docId w15:val="{509D1D5B-8FC4-45C3-B9F4-E9B2239B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a">
    <w:name w:val="Table Grid"/>
    <w:basedOn w:val="a1"/>
    <w:uiPriority w:val="59"/>
    <w:rsid w:val="004B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FA2B4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DD2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2260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001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73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2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timuspharm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dda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.secretary@rogersgroup.i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604E6-C23D-410D-8CF9-19892296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4471</Words>
  <Characters>25490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29902</CharactersWithSpaces>
  <SharedDoc>false</SharedDoc>
  <HLinks>
    <vt:vector size="12" baseType="variant">
      <vt:variant>
        <vt:i4>7667774</vt:i4>
      </vt:variant>
      <vt:variant>
        <vt:i4>3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8126550</vt:i4>
      </vt:variant>
      <vt:variant>
        <vt:i4>0</vt:i4>
      </vt:variant>
      <vt:variant>
        <vt:i4>0</vt:i4>
      </vt:variant>
      <vt:variant>
        <vt:i4>5</vt:i4>
      </vt:variant>
      <vt:variant>
        <vt:lpwstr>mailto:info@optimuspharma.com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36</cp:revision>
  <cp:lastPrinted>2019-11-18T06:17:00Z</cp:lastPrinted>
  <dcterms:created xsi:type="dcterms:W3CDTF">2021-09-02T11:53:00Z</dcterms:created>
  <dcterms:modified xsi:type="dcterms:W3CDTF">2025-07-02T11:53:00Z</dcterms:modified>
</cp:coreProperties>
</file>